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03AE56BC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68266CA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4FE42AE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52422DCE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523333B" w14:textId="784A256A" w:rsidR="008627FE" w:rsidRDefault="00062796" w:rsidP="00062796">
      <w:pPr>
        <w:tabs>
          <w:tab w:val="left" w:pos="1236"/>
          <w:tab w:val="center" w:pos="4536"/>
        </w:tabs>
        <w:autoSpaceDE w:val="0"/>
        <w:autoSpaceDN w:val="0"/>
        <w:adjustRightInd w:val="0"/>
        <w:spacing w:before="240" w:after="12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ab/>
      </w:r>
      <w:r w:rsidR="00AA2AC4">
        <w:rPr>
          <w:rFonts w:ascii="Arial" w:hAnsi="Arial" w:cs="Arial"/>
          <w:b/>
          <w:color w:val="0070C0"/>
          <w:sz w:val="28"/>
          <w:szCs w:val="28"/>
        </w:rPr>
        <w:t>P</w:t>
      </w:r>
      <w:r w:rsidR="00D03B11" w:rsidRPr="00D03B11">
        <w:rPr>
          <w:rFonts w:ascii="Arial" w:hAnsi="Arial" w:cs="Arial"/>
          <w:b/>
          <w:color w:val="0070C0"/>
          <w:sz w:val="28"/>
          <w:szCs w:val="28"/>
        </w:rPr>
        <w:t>olitik</w:t>
      </w:r>
      <w:r w:rsidR="00AA2AC4">
        <w:rPr>
          <w:rFonts w:ascii="Arial" w:hAnsi="Arial" w:cs="Arial"/>
          <w:b/>
          <w:color w:val="0070C0"/>
          <w:sz w:val="28"/>
          <w:szCs w:val="28"/>
        </w:rPr>
        <w:t>a</w:t>
      </w:r>
      <w:r w:rsidR="00D03B11" w:rsidRPr="00D03B11">
        <w:rPr>
          <w:rFonts w:ascii="Arial" w:hAnsi="Arial" w:cs="Arial"/>
          <w:b/>
          <w:color w:val="0070C0"/>
          <w:sz w:val="28"/>
          <w:szCs w:val="28"/>
        </w:rPr>
        <w:t xml:space="preserve"> soudržnosti 2028+ v</w:t>
      </w:r>
      <w:r w:rsidR="00AA2AC4">
        <w:rPr>
          <w:rFonts w:ascii="Arial" w:hAnsi="Arial" w:cs="Arial"/>
          <w:b/>
          <w:color w:val="0070C0"/>
          <w:sz w:val="28"/>
          <w:szCs w:val="28"/>
        </w:rPr>
        <w:t> </w:t>
      </w:r>
      <w:r w:rsidR="00D03B11" w:rsidRPr="00D03B11">
        <w:rPr>
          <w:rFonts w:ascii="Arial" w:hAnsi="Arial" w:cs="Arial"/>
          <w:b/>
          <w:color w:val="0070C0"/>
          <w:sz w:val="28"/>
          <w:szCs w:val="28"/>
        </w:rPr>
        <w:t>ČR</w:t>
      </w:r>
      <w:r w:rsidR="00AA2AC4">
        <w:rPr>
          <w:rFonts w:ascii="Arial" w:hAnsi="Arial" w:cs="Arial"/>
          <w:b/>
          <w:color w:val="0070C0"/>
          <w:sz w:val="28"/>
          <w:szCs w:val="28"/>
        </w:rPr>
        <w:t xml:space="preserve"> a její legislativa</w:t>
      </w:r>
    </w:p>
    <w:p w14:paraId="30A1C235" w14:textId="241C0E50" w:rsidR="00AA2AC4" w:rsidRPr="00AA2AC4" w:rsidRDefault="00AA2AC4" w:rsidP="008627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(průběžný stav)</w:t>
      </w:r>
    </w:p>
    <w:p w14:paraId="4516AA88" w14:textId="1DAD5D29" w:rsidR="00D621BE" w:rsidRDefault="00681BC4" w:rsidP="005C0A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B0DCC">
        <w:rPr>
          <w:rFonts w:ascii="Arial" w:hAnsi="Arial" w:cs="Arial"/>
          <w:bCs/>
          <w:sz w:val="22"/>
          <w:szCs w:val="22"/>
        </w:rPr>
        <w:t xml:space="preserve">Radě pro výzkum, vývoj a inovace (dále jen „Rada“) </w:t>
      </w:r>
      <w:r w:rsidR="009063AF" w:rsidRPr="004B0DCC">
        <w:rPr>
          <w:rFonts w:ascii="Arial" w:hAnsi="Arial" w:cs="Arial"/>
          <w:bCs/>
          <w:sz w:val="22"/>
          <w:szCs w:val="22"/>
        </w:rPr>
        <w:t>se předkládá</w:t>
      </w:r>
      <w:r w:rsidR="0072499F" w:rsidRPr="004B0DCC">
        <w:rPr>
          <w:rFonts w:ascii="Arial" w:hAnsi="Arial" w:cs="Arial"/>
          <w:bCs/>
          <w:sz w:val="22"/>
          <w:szCs w:val="22"/>
        </w:rPr>
        <w:t xml:space="preserve"> pro informaci materiál</w:t>
      </w:r>
      <w:r w:rsidR="00D621BE">
        <w:rPr>
          <w:rFonts w:ascii="Arial" w:hAnsi="Arial" w:cs="Arial"/>
          <w:bCs/>
          <w:sz w:val="22"/>
          <w:szCs w:val="22"/>
        </w:rPr>
        <w:t>, který</w:t>
      </w:r>
      <w:r w:rsidR="005E3883">
        <w:rPr>
          <w:rFonts w:ascii="Arial" w:hAnsi="Arial" w:cs="Arial"/>
          <w:bCs/>
          <w:sz w:val="22"/>
          <w:szCs w:val="22"/>
        </w:rPr>
        <w:t> </w:t>
      </w:r>
      <w:r w:rsidR="00D621BE">
        <w:rPr>
          <w:rFonts w:ascii="Arial" w:hAnsi="Arial" w:cs="Arial"/>
          <w:bCs/>
          <w:sz w:val="22"/>
          <w:szCs w:val="22"/>
        </w:rPr>
        <w:t>monitoruje vývoj v otázce politiky soudržnosti (PS) 2028</w:t>
      </w:r>
      <w:r w:rsidR="005E3883">
        <w:rPr>
          <w:rFonts w:ascii="Arial" w:hAnsi="Arial" w:cs="Arial"/>
          <w:bCs/>
          <w:sz w:val="22"/>
          <w:szCs w:val="22"/>
        </w:rPr>
        <w:t>+</w:t>
      </w:r>
      <w:r w:rsidR="00D621BE">
        <w:rPr>
          <w:rFonts w:ascii="Arial" w:hAnsi="Arial" w:cs="Arial"/>
          <w:bCs/>
          <w:sz w:val="22"/>
          <w:szCs w:val="22"/>
        </w:rPr>
        <w:t xml:space="preserve">. Tento materiál navazuje </w:t>
      </w:r>
      <w:r w:rsidR="00325D00">
        <w:rPr>
          <w:rFonts w:ascii="Arial" w:hAnsi="Arial" w:cs="Arial"/>
          <w:bCs/>
          <w:sz w:val="22"/>
          <w:szCs w:val="22"/>
        </w:rPr>
        <w:t>na</w:t>
      </w:r>
      <w:r w:rsidR="005E3883">
        <w:rPr>
          <w:rFonts w:ascii="Arial" w:hAnsi="Arial" w:cs="Arial"/>
          <w:bCs/>
          <w:sz w:val="22"/>
          <w:szCs w:val="22"/>
        </w:rPr>
        <w:t> </w:t>
      </w:r>
      <w:r w:rsidR="00D621BE">
        <w:rPr>
          <w:rFonts w:ascii="Arial" w:hAnsi="Arial" w:cs="Arial"/>
          <w:bCs/>
          <w:sz w:val="22"/>
          <w:szCs w:val="22"/>
        </w:rPr>
        <w:t>informaci</w:t>
      </w:r>
      <w:r w:rsidR="0072499F" w:rsidRPr="004B0DCC">
        <w:rPr>
          <w:rFonts w:ascii="Arial" w:hAnsi="Arial" w:cs="Arial"/>
          <w:bCs/>
          <w:sz w:val="22"/>
          <w:szCs w:val="22"/>
        </w:rPr>
        <w:t xml:space="preserve"> „Strategický rámec politiky soudržnosti 2028+ v ČR dále jen „</w:t>
      </w:r>
      <w:r w:rsidR="004B0DCC">
        <w:rPr>
          <w:rFonts w:ascii="Arial" w:hAnsi="Arial" w:cs="Arial"/>
          <w:bCs/>
          <w:sz w:val="22"/>
          <w:szCs w:val="22"/>
        </w:rPr>
        <w:t>strategický rámec</w:t>
      </w:r>
      <w:r w:rsidR="004B0DCC" w:rsidRPr="004B0DCC">
        <w:rPr>
          <w:rFonts w:ascii="Arial" w:hAnsi="Arial" w:cs="Arial"/>
          <w:bCs/>
          <w:sz w:val="22"/>
          <w:szCs w:val="22"/>
        </w:rPr>
        <w:t>“)</w:t>
      </w:r>
      <w:r w:rsidR="0072499F" w:rsidRPr="004B0DCC">
        <w:rPr>
          <w:rFonts w:ascii="Arial" w:hAnsi="Arial" w:cs="Arial"/>
          <w:bCs/>
          <w:sz w:val="22"/>
          <w:szCs w:val="22"/>
        </w:rPr>
        <w:t>,</w:t>
      </w:r>
      <w:r w:rsidR="00D621BE">
        <w:rPr>
          <w:rFonts w:ascii="Arial" w:hAnsi="Arial" w:cs="Arial"/>
          <w:bCs/>
          <w:sz w:val="22"/>
          <w:szCs w:val="22"/>
        </w:rPr>
        <w:t xml:space="preserve"> který byl projednán na Radě</w:t>
      </w:r>
      <w:r w:rsidR="0072499F" w:rsidRPr="004B0DCC">
        <w:rPr>
          <w:rFonts w:ascii="Arial" w:hAnsi="Arial" w:cs="Arial"/>
          <w:bCs/>
          <w:sz w:val="22"/>
          <w:szCs w:val="22"/>
        </w:rPr>
        <w:t xml:space="preserve"> </w:t>
      </w:r>
      <w:r w:rsidR="00D621BE">
        <w:rPr>
          <w:rFonts w:ascii="Arial" w:hAnsi="Arial" w:cs="Arial"/>
          <w:bCs/>
          <w:sz w:val="22"/>
          <w:szCs w:val="22"/>
        </w:rPr>
        <w:t>dne 30. května 2025 jako bod C5.</w:t>
      </w:r>
    </w:p>
    <w:p w14:paraId="52B17A1C" w14:textId="43A3CB8B" w:rsidR="00D621BE" w:rsidRDefault="00D621BE" w:rsidP="005C0A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Samotný návrh Strategického rámce politiky soudržnosti 2028+ v České republice byl vzat na</w:t>
      </w:r>
      <w:r w:rsidR="005E3883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vědomí vládou České republiky v jejím usnesení ze dne 2. července 2025 č.</w:t>
      </w:r>
      <w:r w:rsidR="005E3883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490.</w:t>
      </w:r>
      <w:r w:rsidR="005E3883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Předmětné u</w:t>
      </w:r>
      <w:r w:rsidR="00325D00">
        <w:rPr>
          <w:rFonts w:ascii="Arial" w:hAnsi="Arial" w:cs="Arial"/>
          <w:bCs/>
          <w:sz w:val="22"/>
          <w:szCs w:val="22"/>
        </w:rPr>
        <w:t>snesení ukládá v bodě II/2a ministru pro místní rozvoj:</w:t>
      </w:r>
    </w:p>
    <w:p w14:paraId="7500C6AA" w14:textId="3609E604" w:rsidR="00325D00" w:rsidRPr="005E3883" w:rsidRDefault="00325D00" w:rsidP="00325D0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5E3883">
        <w:rPr>
          <w:rFonts w:ascii="Arial" w:hAnsi="Arial" w:cs="Arial"/>
          <w:bCs/>
          <w:i/>
          <w:iCs/>
          <w:sz w:val="22"/>
          <w:szCs w:val="22"/>
        </w:rPr>
        <w:t>„po zveřejnění víceletého finančního rámce 2028+ a navazující legislativy pro politiku soudržnosti posoudit a dopracovat ve spolupráci s ostatními členy vlády finální Strategický rámec včetně návrhu implementační struktury a předložit vládě do 30. června 2026 konečnou podobu Strategického rámce a informaci o stavu přípravy národního strategického dokumentu pokrývajícího evropské fondy ve sdíleném řízení, a to v souladu s principem partnerství.“</w:t>
      </w:r>
    </w:p>
    <w:p w14:paraId="29024747" w14:textId="06F0C195" w:rsidR="00325D00" w:rsidRDefault="00325D00" w:rsidP="00325D0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Předložená informace stručně shrnuje dosavadní vývoj</w:t>
      </w:r>
      <w:r w:rsidR="00982AFE">
        <w:rPr>
          <w:rFonts w:ascii="Arial" w:hAnsi="Arial" w:cs="Arial"/>
          <w:bCs/>
          <w:sz w:val="22"/>
          <w:szCs w:val="22"/>
        </w:rPr>
        <w:t xml:space="preserve"> a hlavní aspekty</w:t>
      </w:r>
      <w:r>
        <w:rPr>
          <w:rFonts w:ascii="Arial" w:hAnsi="Arial" w:cs="Arial"/>
          <w:bCs/>
          <w:sz w:val="22"/>
          <w:szCs w:val="22"/>
        </w:rPr>
        <w:t xml:space="preserve"> problematiky z</w:t>
      </w:r>
      <w:r w:rsidR="00982AFE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perspektivy</w:t>
      </w:r>
      <w:r w:rsidR="00982A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navazující legislativy, konkrétně pak:</w:t>
      </w:r>
    </w:p>
    <w:p w14:paraId="36B6BFCC" w14:textId="60BF84B8" w:rsidR="00325D00" w:rsidRPr="00FC303A" w:rsidRDefault="00325D0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303A">
        <w:rPr>
          <w:rFonts w:ascii="Arial" w:hAnsi="Arial" w:cs="Arial"/>
          <w:sz w:val="22"/>
          <w:szCs w:val="22"/>
        </w:rPr>
        <w:t>Návrhu NAŘÍZENÍ EVROPSKÉHO PARLAMENTU A RADY, kterým se zřizuje Evropský fond pro hospodářskou, sociální a územní soudržnost, zemědělství a venkov, rybolov a námořní záležitosti, prosperitu a bezpečnost na období 2028–2034 a kterým se mění nařízení (EU) 2023/955 a nařízení (EU, Euratom) 2024/2509</w:t>
      </w:r>
      <w:r w:rsidR="00FC303A">
        <w:rPr>
          <w:rFonts w:ascii="Arial" w:hAnsi="Arial" w:cs="Arial"/>
          <w:sz w:val="22"/>
          <w:szCs w:val="22"/>
        </w:rPr>
        <w:t xml:space="preserve"> [COM (2025) 565 final];</w:t>
      </w:r>
    </w:p>
    <w:p w14:paraId="6BCF7497" w14:textId="1B4E22CA" w:rsidR="00FC303A" w:rsidRPr="00FC303A" w:rsidRDefault="00FC303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303A">
        <w:rPr>
          <w:rFonts w:ascii="Arial" w:hAnsi="Arial" w:cs="Arial"/>
          <w:sz w:val="22"/>
          <w:szCs w:val="22"/>
        </w:rPr>
        <w:t xml:space="preserve">Návrhu nařízení COM(2025) 552, kterým se </w:t>
      </w:r>
      <w:r w:rsidR="0037505A">
        <w:rPr>
          <w:rFonts w:ascii="Arial" w:hAnsi="Arial" w:cs="Arial"/>
          <w:sz w:val="22"/>
          <w:szCs w:val="22"/>
        </w:rPr>
        <w:t>zřizuje</w:t>
      </w:r>
      <w:r w:rsidRPr="00FC303A">
        <w:rPr>
          <w:rFonts w:ascii="Arial" w:hAnsi="Arial" w:cs="Arial"/>
          <w:sz w:val="22"/>
          <w:szCs w:val="22"/>
        </w:rPr>
        <w:t xml:space="preserve"> Evropský fond pro regionální rozvoj (EFRR) a Fond soudržnosti (FS) pro období 2028–2034</w:t>
      </w:r>
      <w:r>
        <w:rPr>
          <w:rFonts w:ascii="Arial" w:hAnsi="Arial" w:cs="Arial"/>
          <w:sz w:val="22"/>
          <w:szCs w:val="22"/>
        </w:rPr>
        <w:t>.</w:t>
      </w:r>
    </w:p>
    <w:p w14:paraId="4E876987" w14:textId="1385B648" w:rsidR="00325D00" w:rsidRDefault="00982AFE" w:rsidP="005C0A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Přiložena je také prezentace Pracovní skupiny pro politiku soudržnosti po roce 2027 (PS</w:t>
      </w:r>
      <w:r w:rsidR="00AA2AC4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KOHEZE 2028+), jejíž činnost spadá do gesce Ministerstva pro místní rozvoj jako Národního orgánu pro koordinaci.</w:t>
      </w:r>
    </w:p>
    <w:p w14:paraId="2AD888DA" w14:textId="77777777" w:rsidR="005E3883" w:rsidRDefault="005E3883">
      <w:pPr>
        <w:spacing w:after="200" w:line="276" w:lineRule="auto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14:paraId="36CA9974" w14:textId="4FA5E895" w:rsidR="00D621BE" w:rsidRPr="00437ECB" w:rsidRDefault="00982AFE" w:rsidP="00982A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</w:rPr>
      </w:pPr>
      <w:r w:rsidRPr="00437ECB">
        <w:rPr>
          <w:rFonts w:ascii="Arial" w:hAnsi="Arial" w:cs="Arial"/>
          <w:b/>
          <w:color w:val="0070C0"/>
        </w:rPr>
        <w:lastRenderedPageBreak/>
        <w:t>Návrh NAŘÍZENÍ EVROPSKÉHO PARLAMENTU A RADY, kterým se zřizuje Evropský fond pro hospodářskou, sociální a územní soudržnost, zemědělství a</w:t>
      </w:r>
      <w:r w:rsidR="00AA2AC4">
        <w:rPr>
          <w:rFonts w:ascii="Arial" w:hAnsi="Arial" w:cs="Arial"/>
          <w:b/>
          <w:color w:val="0070C0"/>
        </w:rPr>
        <w:t> </w:t>
      </w:r>
      <w:r w:rsidRPr="00437ECB">
        <w:rPr>
          <w:rFonts w:ascii="Arial" w:hAnsi="Arial" w:cs="Arial"/>
          <w:b/>
          <w:color w:val="0070C0"/>
        </w:rPr>
        <w:t>venkov, rybolov a námořní záležitosti, prosperitu a bezpečnost na období 2028–2034 a kterým se mění nařízení (EU) 2023/955 a nařízení (EU, Euratom) 2024/2509 [COM (2025) 565 final]</w:t>
      </w:r>
    </w:p>
    <w:p w14:paraId="5B4BD9C4" w14:textId="07EE117E" w:rsidR="00437ECB" w:rsidRPr="00437ECB" w:rsidRDefault="00437ECB" w:rsidP="00437ECB">
      <w:pPr>
        <w:rPr>
          <w:rFonts w:ascii="Arial" w:hAnsi="Arial" w:cs="Arial"/>
          <w:b/>
          <w:color w:val="0070C0"/>
          <w:sz w:val="22"/>
          <w:szCs w:val="22"/>
        </w:rPr>
      </w:pPr>
      <w:r w:rsidRPr="00437ECB">
        <w:rPr>
          <w:rFonts w:ascii="Arial" w:hAnsi="Arial" w:cs="Arial"/>
          <w:b/>
          <w:color w:val="0070C0"/>
          <w:sz w:val="22"/>
          <w:szCs w:val="22"/>
        </w:rPr>
        <w:t>Souhrn</w:t>
      </w:r>
    </w:p>
    <w:p w14:paraId="5E39CA80" w14:textId="4D1360AC" w:rsidR="00982AFE" w:rsidRPr="00982AFE" w:rsidRDefault="00982AFE">
      <w:pPr>
        <w:pStyle w:val="Nadpis1"/>
        <w:numPr>
          <w:ilvl w:val="0"/>
          <w:numId w:val="15"/>
        </w:numPr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982AF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Cíl a kontext návrhu</w:t>
      </w:r>
    </w:p>
    <w:p w14:paraId="6A1A8BC1" w14:textId="77777777" w:rsidR="00982AFE" w:rsidRPr="00982AFE" w:rsidRDefault="00982AFE" w:rsidP="005E3883">
      <w:pPr>
        <w:numPr>
          <w:ilvl w:val="0"/>
          <w:numId w:val="3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Navrhuje se </w:t>
      </w:r>
      <w:r w:rsidRPr="00982AFE">
        <w:rPr>
          <w:rFonts w:ascii="Arial" w:hAnsi="Arial" w:cs="Arial"/>
          <w:b/>
          <w:bCs/>
          <w:sz w:val="22"/>
          <w:szCs w:val="22"/>
        </w:rPr>
        <w:t>sjednocení několika fondů EU</w:t>
      </w:r>
      <w:r w:rsidRPr="00982AFE">
        <w:rPr>
          <w:rFonts w:ascii="Arial" w:hAnsi="Arial" w:cs="Arial"/>
          <w:sz w:val="22"/>
          <w:szCs w:val="22"/>
        </w:rPr>
        <w:t> (kohezní politika, společná zemědělská politika, rybolov, bezpečnost, migrace) do </w:t>
      </w:r>
      <w:r w:rsidRPr="00982AFE">
        <w:rPr>
          <w:rFonts w:ascii="Arial" w:hAnsi="Arial" w:cs="Arial"/>
          <w:b/>
          <w:bCs/>
          <w:sz w:val="22"/>
          <w:szCs w:val="22"/>
        </w:rPr>
        <w:t>jednoho rámce</w:t>
      </w:r>
      <w:r w:rsidRPr="00982AFE">
        <w:rPr>
          <w:rFonts w:ascii="Arial" w:hAnsi="Arial" w:cs="Arial"/>
          <w:sz w:val="22"/>
          <w:szCs w:val="22"/>
        </w:rPr>
        <w:t> pro období 2028–2034.</w:t>
      </w:r>
    </w:p>
    <w:p w14:paraId="1770639A" w14:textId="77777777" w:rsidR="00982AFE" w:rsidRPr="00982AFE" w:rsidRDefault="00982AFE" w:rsidP="005E3883">
      <w:pPr>
        <w:numPr>
          <w:ilvl w:val="0"/>
          <w:numId w:val="3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Reaguje na </w:t>
      </w:r>
      <w:r w:rsidRPr="00982AFE">
        <w:rPr>
          <w:rFonts w:ascii="Arial" w:hAnsi="Arial" w:cs="Arial"/>
          <w:b/>
          <w:bCs/>
          <w:sz w:val="22"/>
          <w:szCs w:val="22"/>
        </w:rPr>
        <w:t>přetrvávající regionální nerovnosti</w:t>
      </w:r>
      <w:r w:rsidRPr="00982AFE">
        <w:rPr>
          <w:rFonts w:ascii="Arial" w:hAnsi="Arial" w:cs="Arial"/>
          <w:sz w:val="22"/>
          <w:szCs w:val="22"/>
        </w:rPr>
        <w:t>, klimatické změny, potravinovou bezpečnost, migraci a geopolitické hrozby.</w:t>
      </w:r>
    </w:p>
    <w:p w14:paraId="4DA9C16B" w14:textId="77777777" w:rsidR="00982AFE" w:rsidRPr="00982AFE" w:rsidRDefault="00982AFE">
      <w:pPr>
        <w:numPr>
          <w:ilvl w:val="0"/>
          <w:numId w:val="3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Cílem je </w:t>
      </w:r>
      <w:r w:rsidRPr="00982AFE">
        <w:rPr>
          <w:rFonts w:ascii="Arial" w:hAnsi="Arial" w:cs="Arial"/>
          <w:b/>
          <w:bCs/>
          <w:sz w:val="22"/>
          <w:szCs w:val="22"/>
        </w:rPr>
        <w:t>zjednodušení, větší flexibilita a lepší sladění</w:t>
      </w:r>
      <w:r w:rsidRPr="00982AFE">
        <w:rPr>
          <w:rFonts w:ascii="Arial" w:hAnsi="Arial" w:cs="Arial"/>
          <w:sz w:val="22"/>
          <w:szCs w:val="22"/>
        </w:rPr>
        <w:t> s prioritami EU.</w:t>
      </w:r>
    </w:p>
    <w:p w14:paraId="046E01BD" w14:textId="1F6E41C9" w:rsidR="00982AFE" w:rsidRPr="00D77785" w:rsidRDefault="00982AFE">
      <w:pPr>
        <w:pStyle w:val="Nadpis1"/>
        <w:numPr>
          <w:ilvl w:val="0"/>
          <w:numId w:val="15"/>
        </w:numPr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 Struktura a správa fondu</w:t>
      </w:r>
    </w:p>
    <w:p w14:paraId="0B45574D" w14:textId="63832411" w:rsidR="00982AFE" w:rsidRPr="00982AFE" w:rsidRDefault="00982AFE" w:rsidP="005E3883">
      <w:pPr>
        <w:numPr>
          <w:ilvl w:val="0"/>
          <w:numId w:val="4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Zavádí se </w:t>
      </w:r>
      <w:r w:rsidRPr="00982AFE">
        <w:rPr>
          <w:rFonts w:ascii="Arial" w:hAnsi="Arial" w:cs="Arial"/>
          <w:b/>
          <w:bCs/>
          <w:sz w:val="22"/>
          <w:szCs w:val="22"/>
        </w:rPr>
        <w:t>27 národních a regionálních plánů partnerství (NRP Plans)</w:t>
      </w:r>
      <w:r w:rsidR="005E3883">
        <w:rPr>
          <w:rFonts w:ascii="Arial" w:hAnsi="Arial" w:cs="Arial"/>
          <w:sz w:val="22"/>
          <w:szCs w:val="22"/>
        </w:rPr>
        <w:t xml:space="preserve"> </w:t>
      </w:r>
      <w:r w:rsidRPr="00982AFE">
        <w:rPr>
          <w:rFonts w:ascii="Arial" w:hAnsi="Arial" w:cs="Arial"/>
          <w:sz w:val="22"/>
          <w:szCs w:val="22"/>
        </w:rPr>
        <w:t>a</w:t>
      </w:r>
      <w:r w:rsidR="005E3883">
        <w:rPr>
          <w:rFonts w:ascii="Arial" w:hAnsi="Arial" w:cs="Arial"/>
          <w:sz w:val="22"/>
          <w:szCs w:val="22"/>
        </w:rPr>
        <w:t> </w:t>
      </w:r>
      <w:r w:rsidRPr="00982AFE">
        <w:rPr>
          <w:rFonts w:ascii="Arial" w:hAnsi="Arial" w:cs="Arial"/>
          <w:sz w:val="22"/>
          <w:szCs w:val="22"/>
        </w:rPr>
        <w:t>jeden </w:t>
      </w:r>
      <w:r w:rsidRPr="00982AFE">
        <w:rPr>
          <w:rFonts w:ascii="Arial" w:hAnsi="Arial" w:cs="Arial"/>
          <w:b/>
          <w:bCs/>
          <w:sz w:val="22"/>
          <w:szCs w:val="22"/>
        </w:rPr>
        <w:t>Interreg plán</w:t>
      </w:r>
      <w:r w:rsidRPr="00982AFE">
        <w:rPr>
          <w:rFonts w:ascii="Arial" w:hAnsi="Arial" w:cs="Arial"/>
          <w:sz w:val="22"/>
          <w:szCs w:val="22"/>
        </w:rPr>
        <w:t>.</w:t>
      </w:r>
    </w:p>
    <w:p w14:paraId="7E32DBD1" w14:textId="77777777" w:rsidR="00982AFE" w:rsidRPr="00982AFE" w:rsidRDefault="00982AFE" w:rsidP="005E3883">
      <w:pPr>
        <w:numPr>
          <w:ilvl w:val="0"/>
          <w:numId w:val="4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Financování bude </w:t>
      </w:r>
      <w:r w:rsidRPr="00982AFE">
        <w:rPr>
          <w:rFonts w:ascii="Arial" w:hAnsi="Arial" w:cs="Arial"/>
          <w:b/>
          <w:bCs/>
          <w:sz w:val="22"/>
          <w:szCs w:val="22"/>
        </w:rPr>
        <w:t>výkonnostně orientované</w:t>
      </w:r>
      <w:r w:rsidRPr="00982AFE">
        <w:rPr>
          <w:rFonts w:ascii="Arial" w:hAnsi="Arial" w:cs="Arial"/>
          <w:sz w:val="22"/>
          <w:szCs w:val="22"/>
        </w:rPr>
        <w:t> – platby budou vázány na dosažení předem stanovených milníků a cílů.</w:t>
      </w:r>
    </w:p>
    <w:p w14:paraId="0027DFA2" w14:textId="77777777" w:rsidR="00982AFE" w:rsidRPr="00982AFE" w:rsidRDefault="00982AFE">
      <w:pPr>
        <w:numPr>
          <w:ilvl w:val="0"/>
          <w:numId w:val="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Důraz na </w:t>
      </w:r>
      <w:r w:rsidRPr="00982AFE">
        <w:rPr>
          <w:rFonts w:ascii="Arial" w:hAnsi="Arial" w:cs="Arial"/>
          <w:b/>
          <w:bCs/>
          <w:sz w:val="22"/>
          <w:szCs w:val="22"/>
        </w:rPr>
        <w:t>víceúrovňové řízení</w:t>
      </w:r>
      <w:r w:rsidRPr="00982AFE">
        <w:rPr>
          <w:rFonts w:ascii="Arial" w:hAnsi="Arial" w:cs="Arial"/>
          <w:sz w:val="22"/>
          <w:szCs w:val="22"/>
        </w:rPr>
        <w:t>, partnerství a </w:t>
      </w:r>
      <w:r w:rsidRPr="00982AFE">
        <w:rPr>
          <w:rFonts w:ascii="Arial" w:hAnsi="Arial" w:cs="Arial"/>
          <w:b/>
          <w:bCs/>
          <w:sz w:val="22"/>
          <w:szCs w:val="22"/>
        </w:rPr>
        <w:t>regionální přizpůsobení</w:t>
      </w:r>
      <w:r w:rsidRPr="00982AFE">
        <w:rPr>
          <w:rFonts w:ascii="Arial" w:hAnsi="Arial" w:cs="Arial"/>
          <w:sz w:val="22"/>
          <w:szCs w:val="22"/>
        </w:rPr>
        <w:t>.</w:t>
      </w:r>
    </w:p>
    <w:p w14:paraId="14BB0353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3.</w:t>
      </w:r>
      <w:r w:rsidRPr="00982AFE">
        <w:rPr>
          <w:sz w:val="22"/>
          <w:szCs w:val="22"/>
        </w:rPr>
        <w:t xml:space="preserve"> </w:t>
      </w: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Rozpočet a alokace</w:t>
      </w:r>
    </w:p>
    <w:p w14:paraId="657B46D7" w14:textId="77777777" w:rsidR="00982AFE" w:rsidRPr="00982AFE" w:rsidRDefault="00982AFE">
      <w:pPr>
        <w:numPr>
          <w:ilvl w:val="0"/>
          <w:numId w:val="5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Celkový rozpočet: </w:t>
      </w:r>
      <w:r w:rsidRPr="00982AFE">
        <w:rPr>
          <w:rFonts w:ascii="Arial" w:hAnsi="Arial" w:cs="Arial"/>
          <w:b/>
          <w:bCs/>
          <w:sz w:val="22"/>
          <w:szCs w:val="22"/>
        </w:rPr>
        <w:t>865,1 miliardy EUR</w:t>
      </w:r>
      <w:r w:rsidRPr="00982AFE">
        <w:rPr>
          <w:rFonts w:ascii="Arial" w:hAnsi="Arial" w:cs="Arial"/>
          <w:sz w:val="22"/>
          <w:szCs w:val="22"/>
        </w:rPr>
        <w:t> (2028–2034), z toho:</w:t>
      </w:r>
    </w:p>
    <w:p w14:paraId="45599D73" w14:textId="77777777" w:rsidR="00982AFE" w:rsidRPr="00982AFE" w:rsidRDefault="00982AFE" w:rsidP="005E3883">
      <w:pPr>
        <w:numPr>
          <w:ilvl w:val="1"/>
          <w:numId w:val="5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782,9 mld. EUR pro NRP plány</w:t>
      </w:r>
    </w:p>
    <w:p w14:paraId="19FA0DAF" w14:textId="77777777" w:rsidR="00982AFE" w:rsidRPr="00982AFE" w:rsidRDefault="00982AFE" w:rsidP="005E3883">
      <w:pPr>
        <w:numPr>
          <w:ilvl w:val="1"/>
          <w:numId w:val="5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71,9 mld. EUR pro EU Facility (krizové a přeshraniční projekty)</w:t>
      </w:r>
    </w:p>
    <w:p w14:paraId="28EBC24D" w14:textId="77777777" w:rsidR="00982AFE" w:rsidRPr="00982AFE" w:rsidRDefault="00982AFE" w:rsidP="005E3883">
      <w:pPr>
        <w:numPr>
          <w:ilvl w:val="1"/>
          <w:numId w:val="5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10,3 mld. EUR pro Interreg</w:t>
      </w:r>
    </w:p>
    <w:p w14:paraId="7789C1A3" w14:textId="77777777" w:rsidR="00982AFE" w:rsidRPr="00982AFE" w:rsidRDefault="00982AFE" w:rsidP="005E3883">
      <w:pPr>
        <w:numPr>
          <w:ilvl w:val="1"/>
          <w:numId w:val="5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150 mld. EUR jako půjčky</w:t>
      </w:r>
    </w:p>
    <w:p w14:paraId="7AD676DC" w14:textId="77777777" w:rsidR="00982AFE" w:rsidRPr="00982AFE" w:rsidRDefault="00982AFE">
      <w:pPr>
        <w:numPr>
          <w:ilvl w:val="1"/>
          <w:numId w:val="5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50,1 mld. EUR z Fondu pro sociální klima</w:t>
      </w:r>
    </w:p>
    <w:p w14:paraId="109ABE73" w14:textId="77777777" w:rsidR="00982AFE" w:rsidRPr="00982AFE" w:rsidRDefault="00982AFE">
      <w:pPr>
        <w:numPr>
          <w:ilvl w:val="0"/>
          <w:numId w:val="5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Minimálně 14 %</w:t>
      </w:r>
      <w:r w:rsidRPr="00982AFE">
        <w:rPr>
          <w:rFonts w:ascii="Arial" w:hAnsi="Arial" w:cs="Arial"/>
          <w:sz w:val="22"/>
          <w:szCs w:val="22"/>
        </w:rPr>
        <w:t> prostředků musí být určeno na </w:t>
      </w:r>
      <w:r w:rsidRPr="00982AFE">
        <w:rPr>
          <w:rFonts w:ascii="Arial" w:hAnsi="Arial" w:cs="Arial"/>
          <w:b/>
          <w:bCs/>
          <w:sz w:val="22"/>
          <w:szCs w:val="22"/>
        </w:rPr>
        <w:t>sociální cíle</w:t>
      </w:r>
      <w:r w:rsidRPr="00982AFE">
        <w:rPr>
          <w:rFonts w:ascii="Arial" w:hAnsi="Arial" w:cs="Arial"/>
          <w:sz w:val="22"/>
          <w:szCs w:val="22"/>
        </w:rPr>
        <w:t>.</w:t>
      </w:r>
    </w:p>
    <w:p w14:paraId="1B89043E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4.</w:t>
      </w:r>
      <w:r w:rsidRPr="00982AFE">
        <w:rPr>
          <w:sz w:val="22"/>
          <w:szCs w:val="22"/>
        </w:rPr>
        <w:t xml:space="preserve"> </w:t>
      </w: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Právní rámec a subsidiarita</w:t>
      </w:r>
    </w:p>
    <w:p w14:paraId="7274766B" w14:textId="77777777" w:rsidR="00982AFE" w:rsidRPr="00982AFE" w:rsidRDefault="00982AFE" w:rsidP="005E3883">
      <w:pPr>
        <w:numPr>
          <w:ilvl w:val="0"/>
          <w:numId w:val="6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Právní základ: články 174–178, 38–42, 162 SFEU aj.</w:t>
      </w:r>
    </w:p>
    <w:p w14:paraId="78EFD40A" w14:textId="77777777" w:rsidR="00982AFE" w:rsidRPr="00982AFE" w:rsidRDefault="00982AFE" w:rsidP="005E3883">
      <w:pPr>
        <w:numPr>
          <w:ilvl w:val="0"/>
          <w:numId w:val="6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Subsidiarita</w:t>
      </w:r>
      <w:r w:rsidRPr="00982AFE">
        <w:rPr>
          <w:rFonts w:ascii="Arial" w:hAnsi="Arial" w:cs="Arial"/>
          <w:sz w:val="22"/>
          <w:szCs w:val="22"/>
        </w:rPr>
        <w:t>: výzvy jako migrace, klima a obrana vyžadují koordinaci na úrovni EU.</w:t>
      </w:r>
    </w:p>
    <w:p w14:paraId="23A67680" w14:textId="77777777" w:rsidR="00982AFE" w:rsidRPr="00982AFE" w:rsidRDefault="00982AFE">
      <w:pPr>
        <w:numPr>
          <w:ilvl w:val="0"/>
          <w:numId w:val="6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Proporcionalita</w:t>
      </w:r>
      <w:r w:rsidRPr="00982AFE">
        <w:rPr>
          <w:rFonts w:ascii="Arial" w:hAnsi="Arial" w:cs="Arial"/>
          <w:sz w:val="22"/>
          <w:szCs w:val="22"/>
        </w:rPr>
        <w:t>: návrh nepřekračuje nezbytné kroky k dosažení cílů.</w:t>
      </w:r>
    </w:p>
    <w:p w14:paraId="441CD182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5.</w:t>
      </w:r>
      <w:r w:rsidRPr="00982AFE">
        <w:rPr>
          <w:sz w:val="22"/>
          <w:szCs w:val="22"/>
        </w:rPr>
        <w:t xml:space="preserve"> </w:t>
      </w: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Specifické politiky a sektory</w:t>
      </w:r>
    </w:p>
    <w:p w14:paraId="209E4D3B" w14:textId="77777777" w:rsidR="00982AFE" w:rsidRPr="00982AFE" w:rsidRDefault="00982AFE" w:rsidP="005E3883">
      <w:pPr>
        <w:numPr>
          <w:ilvl w:val="0"/>
          <w:numId w:val="7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Zemědělství</w:t>
      </w:r>
      <w:r w:rsidRPr="00982AFE">
        <w:rPr>
          <w:rFonts w:ascii="Arial" w:hAnsi="Arial" w:cs="Arial"/>
          <w:sz w:val="22"/>
          <w:szCs w:val="22"/>
        </w:rPr>
        <w:t>: podpora aktivních zemědělců, generační obměna, krizové platby.</w:t>
      </w:r>
    </w:p>
    <w:p w14:paraId="7405A493" w14:textId="77777777" w:rsidR="00982AFE" w:rsidRPr="00982AFE" w:rsidRDefault="00982AFE" w:rsidP="005E3883">
      <w:pPr>
        <w:numPr>
          <w:ilvl w:val="0"/>
          <w:numId w:val="7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Rybolov a modrá ekonomika</w:t>
      </w:r>
      <w:r w:rsidRPr="00982AFE">
        <w:rPr>
          <w:rFonts w:ascii="Arial" w:hAnsi="Arial" w:cs="Arial"/>
          <w:sz w:val="22"/>
          <w:szCs w:val="22"/>
        </w:rPr>
        <w:t>: udržitelný rozvoj, správa oceánů.</w:t>
      </w:r>
    </w:p>
    <w:p w14:paraId="17879AEF" w14:textId="77777777" w:rsidR="00982AFE" w:rsidRPr="00982AFE" w:rsidRDefault="00982AFE" w:rsidP="005E3883">
      <w:pPr>
        <w:numPr>
          <w:ilvl w:val="0"/>
          <w:numId w:val="7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Vnější regiony a ostrovy</w:t>
      </w:r>
      <w:r w:rsidRPr="00982AFE">
        <w:rPr>
          <w:rFonts w:ascii="Arial" w:hAnsi="Arial" w:cs="Arial"/>
          <w:sz w:val="22"/>
          <w:szCs w:val="22"/>
        </w:rPr>
        <w:t>: zvláštní opatření pro odlehlost, potravinovou soběstačnost a konektivitu.</w:t>
      </w:r>
    </w:p>
    <w:p w14:paraId="484F7C4B" w14:textId="77777777" w:rsidR="00982AFE" w:rsidRPr="00982AFE" w:rsidRDefault="00982AFE">
      <w:pPr>
        <w:numPr>
          <w:ilvl w:val="0"/>
          <w:numId w:val="7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Sociální klima a modernizační fondy</w:t>
      </w:r>
      <w:r w:rsidRPr="00982AFE">
        <w:rPr>
          <w:rFonts w:ascii="Arial" w:hAnsi="Arial" w:cs="Arial"/>
          <w:sz w:val="22"/>
          <w:szCs w:val="22"/>
        </w:rPr>
        <w:t> budou integrovány do NRP plánů.</w:t>
      </w:r>
    </w:p>
    <w:p w14:paraId="2C602F4D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6.</w:t>
      </w:r>
      <w:r w:rsidRPr="00982AFE">
        <w:rPr>
          <w:sz w:val="22"/>
          <w:szCs w:val="22"/>
        </w:rPr>
        <w:t xml:space="preserve"> </w:t>
      </w: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Monitorování, kontrola a transparentnost</w:t>
      </w:r>
    </w:p>
    <w:p w14:paraId="01035F97" w14:textId="77777777" w:rsidR="00982AFE" w:rsidRPr="00982AFE" w:rsidRDefault="00982AFE" w:rsidP="005E3883">
      <w:pPr>
        <w:numPr>
          <w:ilvl w:val="0"/>
          <w:numId w:val="8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Roční zprávy o pokroku</w:t>
      </w:r>
      <w:r w:rsidRPr="00982AFE">
        <w:rPr>
          <w:rFonts w:ascii="Arial" w:hAnsi="Arial" w:cs="Arial"/>
          <w:sz w:val="22"/>
          <w:szCs w:val="22"/>
        </w:rPr>
        <w:t> a </w:t>
      </w:r>
      <w:r w:rsidRPr="00982AFE">
        <w:rPr>
          <w:rFonts w:ascii="Arial" w:hAnsi="Arial" w:cs="Arial"/>
          <w:b/>
          <w:bCs/>
          <w:sz w:val="22"/>
          <w:szCs w:val="22"/>
        </w:rPr>
        <w:t>balíčky zajištění</w:t>
      </w:r>
      <w:r w:rsidRPr="00982AFE">
        <w:rPr>
          <w:rFonts w:ascii="Arial" w:hAnsi="Arial" w:cs="Arial"/>
          <w:sz w:val="22"/>
          <w:szCs w:val="22"/>
        </w:rPr>
        <w:t> (audit, prohlášení o řízení).</w:t>
      </w:r>
    </w:p>
    <w:p w14:paraId="7976C352" w14:textId="77777777" w:rsidR="00982AFE" w:rsidRPr="00982AFE" w:rsidRDefault="00982AFE" w:rsidP="005E3883">
      <w:pPr>
        <w:numPr>
          <w:ilvl w:val="0"/>
          <w:numId w:val="8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Jednotný auditní přístup</w:t>
      </w:r>
      <w:r w:rsidRPr="00982AFE">
        <w:rPr>
          <w:rFonts w:ascii="Arial" w:hAnsi="Arial" w:cs="Arial"/>
          <w:sz w:val="22"/>
          <w:szCs w:val="22"/>
        </w:rPr>
        <w:t> a elektronické systémy pro sběr dat.</w:t>
      </w:r>
    </w:p>
    <w:p w14:paraId="5C302C15" w14:textId="77777777" w:rsidR="00982AFE" w:rsidRPr="00982AFE" w:rsidRDefault="00982AFE">
      <w:pPr>
        <w:numPr>
          <w:ilvl w:val="0"/>
          <w:numId w:val="8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Veřejná transparentnost</w:t>
      </w:r>
      <w:r w:rsidRPr="00982AFE">
        <w:rPr>
          <w:rFonts w:ascii="Arial" w:hAnsi="Arial" w:cs="Arial"/>
          <w:sz w:val="22"/>
          <w:szCs w:val="22"/>
        </w:rPr>
        <w:t>: zveřejňování údajů o příjemcích a projektech.</w:t>
      </w:r>
    </w:p>
    <w:p w14:paraId="3F17FA6B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lastRenderedPageBreak/>
        <w:t>7.</w:t>
      </w:r>
      <w:r w:rsidRPr="00982AFE">
        <w:rPr>
          <w:sz w:val="22"/>
          <w:szCs w:val="22"/>
        </w:rPr>
        <w:t xml:space="preserve"> </w:t>
      </w:r>
      <w:r w:rsidRPr="00D77785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Soulad s politikami EU</w:t>
      </w:r>
    </w:p>
    <w:p w14:paraId="15EEBE14" w14:textId="77777777" w:rsidR="00982AFE" w:rsidRPr="00982AFE" w:rsidRDefault="00982AFE" w:rsidP="005E3883">
      <w:pPr>
        <w:numPr>
          <w:ilvl w:val="0"/>
          <w:numId w:val="9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Fond je v souladu s iniciativami jako:</w:t>
      </w:r>
    </w:p>
    <w:p w14:paraId="02FECBA1" w14:textId="77777777" w:rsidR="00982AFE" w:rsidRPr="00982AFE" w:rsidRDefault="00982AFE" w:rsidP="005E3883">
      <w:pPr>
        <w:numPr>
          <w:ilvl w:val="1"/>
          <w:numId w:val="9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b/>
          <w:bCs/>
          <w:sz w:val="22"/>
          <w:szCs w:val="22"/>
        </w:rPr>
        <w:t>Zelená dohoda</w:t>
      </w:r>
      <w:r w:rsidRPr="00982AFE">
        <w:rPr>
          <w:rFonts w:ascii="Arial" w:hAnsi="Arial" w:cs="Arial"/>
          <w:sz w:val="22"/>
          <w:szCs w:val="22"/>
        </w:rPr>
        <w:t>, </w:t>
      </w:r>
      <w:r w:rsidRPr="00982AFE">
        <w:rPr>
          <w:rFonts w:ascii="Arial" w:hAnsi="Arial" w:cs="Arial"/>
          <w:b/>
          <w:bCs/>
          <w:sz w:val="22"/>
          <w:szCs w:val="22"/>
        </w:rPr>
        <w:t>Digitální dekáda</w:t>
      </w:r>
      <w:r w:rsidRPr="00982AFE">
        <w:rPr>
          <w:rFonts w:ascii="Arial" w:hAnsi="Arial" w:cs="Arial"/>
          <w:sz w:val="22"/>
          <w:szCs w:val="22"/>
        </w:rPr>
        <w:t>, </w:t>
      </w:r>
      <w:r w:rsidRPr="00982AFE">
        <w:rPr>
          <w:rFonts w:ascii="Arial" w:hAnsi="Arial" w:cs="Arial"/>
          <w:b/>
          <w:bCs/>
          <w:sz w:val="22"/>
          <w:szCs w:val="22"/>
        </w:rPr>
        <w:t>Pakt pro oceány</w:t>
      </w:r>
      <w:r w:rsidRPr="00982AFE">
        <w:rPr>
          <w:rFonts w:ascii="Arial" w:hAnsi="Arial" w:cs="Arial"/>
          <w:sz w:val="22"/>
          <w:szCs w:val="22"/>
        </w:rPr>
        <w:t>, </w:t>
      </w:r>
      <w:r w:rsidRPr="00982AFE">
        <w:rPr>
          <w:rFonts w:ascii="Arial" w:hAnsi="Arial" w:cs="Arial"/>
          <w:b/>
          <w:bCs/>
          <w:sz w:val="22"/>
          <w:szCs w:val="22"/>
        </w:rPr>
        <w:t>Akční plán pro AI</w:t>
      </w:r>
      <w:r w:rsidRPr="00982AFE">
        <w:rPr>
          <w:rFonts w:ascii="Arial" w:hAnsi="Arial" w:cs="Arial"/>
          <w:sz w:val="22"/>
          <w:szCs w:val="22"/>
        </w:rPr>
        <w:t>, </w:t>
      </w:r>
      <w:r w:rsidRPr="00982AFE">
        <w:rPr>
          <w:rFonts w:ascii="Arial" w:hAnsi="Arial" w:cs="Arial"/>
          <w:b/>
          <w:bCs/>
          <w:sz w:val="22"/>
          <w:szCs w:val="22"/>
        </w:rPr>
        <w:t>Evropský pilíř sociálních práv</w:t>
      </w:r>
      <w:r w:rsidRPr="00982AFE">
        <w:rPr>
          <w:rFonts w:ascii="Arial" w:hAnsi="Arial" w:cs="Arial"/>
          <w:sz w:val="22"/>
          <w:szCs w:val="22"/>
        </w:rPr>
        <w:t>.</w:t>
      </w:r>
    </w:p>
    <w:p w14:paraId="03D6821C" w14:textId="77777777" w:rsidR="00982AFE" w:rsidRPr="00982AFE" w:rsidRDefault="00982AFE">
      <w:pPr>
        <w:numPr>
          <w:ilvl w:val="0"/>
          <w:numId w:val="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Podporuje cíle </w:t>
      </w:r>
      <w:r w:rsidRPr="00982AFE">
        <w:rPr>
          <w:rFonts w:ascii="Arial" w:hAnsi="Arial" w:cs="Arial"/>
          <w:b/>
          <w:bCs/>
          <w:sz w:val="22"/>
          <w:szCs w:val="22"/>
        </w:rPr>
        <w:t>klimatické legislativy EU</w:t>
      </w:r>
      <w:r w:rsidRPr="00982AFE">
        <w:rPr>
          <w:rFonts w:ascii="Arial" w:hAnsi="Arial" w:cs="Arial"/>
          <w:sz w:val="22"/>
          <w:szCs w:val="22"/>
        </w:rPr>
        <w:t>, </w:t>
      </w:r>
      <w:r w:rsidRPr="00982AFE">
        <w:rPr>
          <w:rFonts w:ascii="Arial" w:hAnsi="Arial" w:cs="Arial"/>
          <w:b/>
          <w:bCs/>
          <w:sz w:val="22"/>
          <w:szCs w:val="22"/>
        </w:rPr>
        <w:t>SDGs</w:t>
      </w:r>
      <w:r w:rsidRPr="00982AFE">
        <w:rPr>
          <w:rFonts w:ascii="Arial" w:hAnsi="Arial" w:cs="Arial"/>
          <w:sz w:val="22"/>
          <w:szCs w:val="22"/>
        </w:rPr>
        <w:t> a </w:t>
      </w:r>
      <w:r w:rsidRPr="00982AFE">
        <w:rPr>
          <w:rFonts w:ascii="Arial" w:hAnsi="Arial" w:cs="Arial"/>
          <w:b/>
          <w:bCs/>
          <w:sz w:val="22"/>
          <w:szCs w:val="22"/>
        </w:rPr>
        <w:t>strategickou autonomii EU</w:t>
      </w:r>
      <w:r w:rsidRPr="00982AFE">
        <w:rPr>
          <w:rFonts w:ascii="Arial" w:hAnsi="Arial" w:cs="Arial"/>
          <w:sz w:val="22"/>
          <w:szCs w:val="22"/>
        </w:rPr>
        <w:t>.</w:t>
      </w:r>
    </w:p>
    <w:p w14:paraId="574A1C80" w14:textId="77777777" w:rsidR="00982AFE" w:rsidRPr="00D77785" w:rsidRDefault="00982AFE" w:rsidP="005E3883">
      <w:pPr>
        <w:spacing w:before="240"/>
        <w:rPr>
          <w:rFonts w:ascii="Arial" w:hAnsi="Arial" w:cs="Arial"/>
          <w:b/>
          <w:color w:val="0070C0"/>
          <w:sz w:val="22"/>
          <w:szCs w:val="22"/>
        </w:rPr>
      </w:pPr>
      <w:r w:rsidRPr="00D77785">
        <w:rPr>
          <w:rFonts w:ascii="Arial" w:hAnsi="Arial" w:cs="Arial"/>
          <w:b/>
          <w:color w:val="0070C0"/>
          <w:sz w:val="22"/>
          <w:szCs w:val="22"/>
        </w:rPr>
        <w:t>SPECIFICKÉ CÍLE FONDU</w:t>
      </w:r>
    </w:p>
    <w:p w14:paraId="51345167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437ECB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1.</w:t>
      </w:r>
      <w:r w:rsidRPr="00982AFE">
        <w:rPr>
          <w:sz w:val="22"/>
          <w:szCs w:val="22"/>
        </w:rPr>
        <w:t xml:space="preserve"> </w:t>
      </w:r>
      <w:r w:rsidRPr="00982AF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Udržitelná prosperita napříč regiony EU</w:t>
      </w:r>
    </w:p>
    <w:p w14:paraId="5F23B116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Podpora atraktivity území a práva zůstat v místě.</w:t>
      </w:r>
    </w:p>
    <w:p w14:paraId="774D7C92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Posílení průmyslové základny a odolných dodavatelských řetězců.</w:t>
      </w:r>
    </w:p>
    <w:p w14:paraId="72B0D63C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Podpora čisté energetiky, dekarbonizace a oběhového hospodářství.</w:t>
      </w:r>
    </w:p>
    <w:p w14:paraId="0517BCE7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Digitální transformace a digitální suverenita EU.</w:t>
      </w:r>
    </w:p>
    <w:p w14:paraId="7AB69C31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Výzkum, vývoj a inovace.</w:t>
      </w:r>
    </w:p>
    <w:p w14:paraId="4A92FF6F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Rozvoj trhu kapitálu a investičních nástrojů.</w:t>
      </w:r>
    </w:p>
    <w:p w14:paraId="045E1414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Sociální a dostupné bydlení.</w:t>
      </w:r>
    </w:p>
    <w:p w14:paraId="2834F312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Doprava a TEN-T infrastruktura.</w:t>
      </w:r>
    </w:p>
    <w:p w14:paraId="125DCF09" w14:textId="77777777" w:rsidR="00982AFE" w:rsidRPr="00982AFE" w:rsidRDefault="00982AFE" w:rsidP="005E3883">
      <w:pPr>
        <w:numPr>
          <w:ilvl w:val="0"/>
          <w:numId w:val="10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Udržitelný cestovní ruch.</w:t>
      </w:r>
    </w:p>
    <w:p w14:paraId="33DC4969" w14:textId="77777777" w:rsidR="00982AFE" w:rsidRPr="00982AFE" w:rsidRDefault="00982AFE">
      <w:pPr>
        <w:numPr>
          <w:ilvl w:val="0"/>
          <w:numId w:val="10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Ochrana životního prostředí, biodiverzity, vody, půdy a podpora Nového evropského Bauhausu.</w:t>
      </w:r>
    </w:p>
    <w:p w14:paraId="24F92361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437ECB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2.</w:t>
      </w:r>
      <w:r w:rsidRPr="00982AFE">
        <w:rPr>
          <w:sz w:val="22"/>
          <w:szCs w:val="22"/>
        </w:rPr>
        <w:t xml:space="preserve"> </w:t>
      </w:r>
      <w:r w:rsidRPr="00982AF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Obranyschopnost a bezpečnost EU</w:t>
      </w:r>
    </w:p>
    <w:p w14:paraId="04CEF8BD" w14:textId="77777777" w:rsidR="00982AFE" w:rsidRPr="00982AFE" w:rsidRDefault="00982AFE" w:rsidP="005E3883">
      <w:pPr>
        <w:numPr>
          <w:ilvl w:val="0"/>
          <w:numId w:val="11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Posílení obranného průmyslu a vojenské mobility.</w:t>
      </w:r>
    </w:p>
    <w:p w14:paraId="13291C7E" w14:textId="77777777" w:rsidR="00982AFE" w:rsidRPr="00982AFE" w:rsidRDefault="00982AFE" w:rsidP="005E3883">
      <w:pPr>
        <w:numPr>
          <w:ilvl w:val="0"/>
          <w:numId w:val="11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Zvyšování připravenosti na krize („preparedness by design“).</w:t>
      </w:r>
    </w:p>
    <w:p w14:paraId="2B36B93C" w14:textId="77777777" w:rsidR="00982AFE" w:rsidRPr="00982AFE" w:rsidRDefault="00982AFE">
      <w:pPr>
        <w:numPr>
          <w:ilvl w:val="0"/>
          <w:numId w:val="11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Ochrana kritické infrastruktury, kyberbezpečnost, detekce hrozeb</w:t>
      </w:r>
      <w:r w:rsidRPr="00982AFE">
        <w:rPr>
          <w:rFonts w:ascii="Arial" w:hAnsi="Arial" w:cs="Arial"/>
          <w:b/>
          <w:bCs/>
          <w:sz w:val="22"/>
          <w:szCs w:val="22"/>
        </w:rPr>
        <w:t>.</w:t>
      </w:r>
    </w:p>
    <w:p w14:paraId="6D6CF3C2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437ECB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3</w:t>
      </w:r>
      <w:r w:rsidRPr="00982AFE">
        <w:rPr>
          <w:sz w:val="22"/>
          <w:szCs w:val="22"/>
        </w:rPr>
        <w:t xml:space="preserve">. </w:t>
      </w:r>
      <w:r w:rsidRPr="00982AF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Sociální soudržnost a posílení společností</w:t>
      </w:r>
    </w:p>
    <w:p w14:paraId="07D045D4" w14:textId="77777777" w:rsidR="00982AFE" w:rsidRPr="00982AFE" w:rsidRDefault="00982AFE" w:rsidP="005E3883">
      <w:pPr>
        <w:numPr>
          <w:ilvl w:val="0"/>
          <w:numId w:val="12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Zaměstnanost, rovný přístup na trh práce, pracovní podmínky.</w:t>
      </w:r>
    </w:p>
    <w:p w14:paraId="5C137C4D" w14:textId="77777777" w:rsidR="00982AFE" w:rsidRPr="00982AFE" w:rsidRDefault="00982AFE" w:rsidP="005E3883">
      <w:pPr>
        <w:numPr>
          <w:ilvl w:val="0"/>
          <w:numId w:val="12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Vzdělávání, celoživotní učení, rekvalifikace.</w:t>
      </w:r>
    </w:p>
    <w:p w14:paraId="72948F34" w14:textId="77777777" w:rsidR="00982AFE" w:rsidRPr="00982AFE" w:rsidRDefault="00982AFE" w:rsidP="005E3883">
      <w:pPr>
        <w:numPr>
          <w:ilvl w:val="0"/>
          <w:numId w:val="12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Sociální začleňování, boj proti chudobě a bezdomovectví.</w:t>
      </w:r>
    </w:p>
    <w:p w14:paraId="4846BA0C" w14:textId="77777777" w:rsidR="00982AFE" w:rsidRPr="00982AFE" w:rsidRDefault="00982AFE" w:rsidP="005E3883">
      <w:pPr>
        <w:numPr>
          <w:ilvl w:val="0"/>
          <w:numId w:val="12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Přístup ke službám, zdravotní péči, péči o děti a seniory.</w:t>
      </w:r>
    </w:p>
    <w:p w14:paraId="5C5C3773" w14:textId="77777777" w:rsidR="00982AFE" w:rsidRPr="00982AFE" w:rsidRDefault="00982AFE" w:rsidP="005E3883">
      <w:pPr>
        <w:numPr>
          <w:ilvl w:val="0"/>
          <w:numId w:val="12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Reakce na demografické změny.</w:t>
      </w:r>
    </w:p>
    <w:p w14:paraId="58C80F7E" w14:textId="77777777" w:rsidR="00982AFE" w:rsidRPr="00982AFE" w:rsidRDefault="00982AFE">
      <w:pPr>
        <w:numPr>
          <w:ilvl w:val="0"/>
          <w:numId w:val="1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Sociálně spravedlivý přechod ke klimatické neutralitě.</w:t>
      </w:r>
    </w:p>
    <w:p w14:paraId="0E073103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437ECB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4.</w:t>
      </w:r>
      <w:r w:rsidRPr="00982AFE">
        <w:rPr>
          <w:sz w:val="22"/>
          <w:szCs w:val="22"/>
        </w:rPr>
        <w:t xml:space="preserve"> </w:t>
      </w:r>
      <w:r w:rsidRPr="00982AF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Kvalita života a udržitelné zemědělství</w:t>
      </w:r>
    </w:p>
    <w:p w14:paraId="44F00A92" w14:textId="77777777" w:rsidR="00982AFE" w:rsidRPr="00982AFE" w:rsidRDefault="00982AFE" w:rsidP="005E3883">
      <w:pPr>
        <w:numPr>
          <w:ilvl w:val="0"/>
          <w:numId w:val="13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Spravedlivý a dostatečný příjem pro zemědělce.</w:t>
      </w:r>
    </w:p>
    <w:p w14:paraId="47D24BA5" w14:textId="77777777" w:rsidR="00982AFE" w:rsidRPr="00982AFE" w:rsidRDefault="00982AFE" w:rsidP="005E3883">
      <w:pPr>
        <w:numPr>
          <w:ilvl w:val="0"/>
          <w:numId w:val="13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Potravinová bezpečnost.</w:t>
      </w:r>
    </w:p>
    <w:p w14:paraId="69ACD327" w14:textId="77777777" w:rsidR="00982AFE" w:rsidRPr="00982AFE" w:rsidRDefault="00982AFE" w:rsidP="005E3883">
      <w:pPr>
        <w:numPr>
          <w:ilvl w:val="0"/>
          <w:numId w:val="13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Atraktivita venkova, generační obměna, digitalizace zemědělství.</w:t>
      </w:r>
    </w:p>
    <w:p w14:paraId="262D73AF" w14:textId="77777777" w:rsidR="00982AFE" w:rsidRPr="00982AFE" w:rsidRDefault="00982AFE" w:rsidP="005E3883">
      <w:pPr>
        <w:numPr>
          <w:ilvl w:val="0"/>
          <w:numId w:val="13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Udržitelný a konkurenceschopný rybolov a akvakultura.</w:t>
      </w:r>
    </w:p>
    <w:p w14:paraId="38BBC55C" w14:textId="77777777" w:rsidR="00982AFE" w:rsidRPr="00982AFE" w:rsidRDefault="00982AFE">
      <w:pPr>
        <w:numPr>
          <w:ilvl w:val="0"/>
          <w:numId w:val="13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Ochrana přírody, vody, půdy, zvířat a podpora ekosystémových služeb.</w:t>
      </w:r>
    </w:p>
    <w:p w14:paraId="168F2A86" w14:textId="77777777" w:rsidR="00982AFE" w:rsidRPr="00982AFE" w:rsidRDefault="00982AFE" w:rsidP="00982AFE">
      <w:pPr>
        <w:pStyle w:val="Nadpis1"/>
        <w:rPr>
          <w:sz w:val="22"/>
          <w:szCs w:val="22"/>
        </w:rPr>
      </w:pPr>
      <w:r w:rsidRPr="00437ECB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5.</w:t>
      </w:r>
      <w:r w:rsidRPr="00982AFE">
        <w:rPr>
          <w:sz w:val="22"/>
          <w:szCs w:val="22"/>
        </w:rPr>
        <w:t xml:space="preserve"> </w:t>
      </w:r>
      <w:r w:rsidRPr="00982AF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Ochrana demokracie, právního státu a hodnot EU</w:t>
      </w:r>
    </w:p>
    <w:p w14:paraId="0D5F10D4" w14:textId="77777777" w:rsidR="00982AFE" w:rsidRPr="00982AFE" w:rsidRDefault="00982AFE" w:rsidP="005E3883">
      <w:pPr>
        <w:numPr>
          <w:ilvl w:val="0"/>
          <w:numId w:val="14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Podpora otevřených, demokratických a inkluzivních společností.</w:t>
      </w:r>
    </w:p>
    <w:p w14:paraId="131546B2" w14:textId="77777777" w:rsidR="00982AFE" w:rsidRPr="00982AFE" w:rsidRDefault="00982AFE" w:rsidP="005E3883">
      <w:pPr>
        <w:numPr>
          <w:ilvl w:val="0"/>
          <w:numId w:val="14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Posílení justice, boje proti korupci, mediální plurality.</w:t>
      </w:r>
    </w:p>
    <w:p w14:paraId="3245DE8D" w14:textId="77777777" w:rsidR="00982AFE" w:rsidRPr="00982AFE" w:rsidRDefault="00982AFE" w:rsidP="005E3883">
      <w:pPr>
        <w:numPr>
          <w:ilvl w:val="0"/>
          <w:numId w:val="14"/>
        </w:numPr>
        <w:spacing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Efektivní veřejná správa a budování kapacit institucí.</w:t>
      </w:r>
    </w:p>
    <w:p w14:paraId="3D77906E" w14:textId="77777777" w:rsidR="00982AFE" w:rsidRPr="00982AFE" w:rsidRDefault="00982AFE">
      <w:pPr>
        <w:numPr>
          <w:ilvl w:val="0"/>
          <w:numId w:val="1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982AFE">
        <w:rPr>
          <w:rFonts w:ascii="Arial" w:hAnsi="Arial" w:cs="Arial"/>
          <w:sz w:val="22"/>
          <w:szCs w:val="22"/>
        </w:rPr>
        <w:t>Podpora kultury jako nositele evropských hodnot.</w:t>
      </w:r>
    </w:p>
    <w:p w14:paraId="64828969" w14:textId="77777777" w:rsidR="005E3883" w:rsidRDefault="005E3883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br w:type="page"/>
      </w:r>
    </w:p>
    <w:p w14:paraId="1E3A81D9" w14:textId="5B6C4AE8" w:rsidR="004B0A28" w:rsidRPr="001444AE" w:rsidRDefault="00CE3564" w:rsidP="001444AE">
      <w:pPr>
        <w:rPr>
          <w:rFonts w:ascii="Arial" w:hAnsi="Arial" w:cs="Arial"/>
          <w:b/>
          <w:color w:val="0070C0"/>
          <w:sz w:val="22"/>
          <w:szCs w:val="22"/>
        </w:rPr>
      </w:pPr>
      <w:r w:rsidRPr="001444AE">
        <w:rPr>
          <w:rFonts w:ascii="Arial" w:hAnsi="Arial" w:cs="Arial"/>
          <w:b/>
          <w:color w:val="0070C0"/>
          <w:sz w:val="22"/>
          <w:szCs w:val="22"/>
        </w:rPr>
        <w:lastRenderedPageBreak/>
        <w:t>CENTRALIZACE VS FLEXIBILITA ROZPOČTU</w:t>
      </w:r>
    </w:p>
    <w:p w14:paraId="377A63F5" w14:textId="77777777" w:rsidR="001444AE" w:rsidRPr="001444AE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u w:val="single"/>
          <w:lang w:eastAsia="cs-CZ"/>
        </w:rPr>
      </w:pPr>
      <w:r w:rsidRPr="001444AE">
        <w:rPr>
          <w:rFonts w:eastAsia="Times New Roman"/>
          <w:b w:val="0"/>
          <w:color w:val="0070C0"/>
          <w:kern w:val="0"/>
          <w:sz w:val="22"/>
          <w:szCs w:val="22"/>
          <w:u w:val="single"/>
          <w:lang w:eastAsia="cs-CZ"/>
        </w:rPr>
        <w:t>Centralizace rozpočtu</w:t>
      </w:r>
    </w:p>
    <w:p w14:paraId="1C9F6A1C" w14:textId="77777777" w:rsidR="001444AE" w:rsidRPr="001444AE" w:rsidRDefault="001444AE" w:rsidP="001444AE">
      <w:pPr>
        <w:rPr>
          <w:lang w:eastAsia="zh-CN"/>
        </w:rPr>
      </w:pPr>
    </w:p>
    <w:p w14:paraId="6D598658" w14:textId="77777777" w:rsidR="001444AE" w:rsidRPr="001444AE" w:rsidRDefault="001444AE" w:rsidP="001444AE">
      <w:pPr>
        <w:rPr>
          <w:rFonts w:ascii="Arial" w:hAnsi="Arial" w:cs="Arial"/>
          <w:bCs/>
          <w:color w:val="0070C0"/>
          <w:sz w:val="22"/>
          <w:szCs w:val="22"/>
        </w:rPr>
      </w:pPr>
      <w:r w:rsidRPr="001444AE">
        <w:rPr>
          <w:rFonts w:ascii="Arial" w:hAnsi="Arial" w:cs="Arial"/>
          <w:bCs/>
          <w:color w:val="0070C0"/>
          <w:sz w:val="22"/>
          <w:szCs w:val="22"/>
        </w:rPr>
        <w:t>1. Jednotný rámec pro více fondů</w:t>
      </w:r>
    </w:p>
    <w:p w14:paraId="1E83BDBB" w14:textId="77777777" w:rsidR="001444AE" w:rsidRPr="001444AE" w:rsidRDefault="001444AE" w:rsidP="005E3883">
      <w:pPr>
        <w:numPr>
          <w:ilvl w:val="0"/>
          <w:numId w:val="16"/>
        </w:numPr>
        <w:spacing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Sloučení fondů (kohezní, zemědělské, rybářské, azylové, bezpečnostní) do </w:t>
      </w:r>
      <w:r w:rsidRPr="001444AE">
        <w:rPr>
          <w:rFonts w:ascii="Arial" w:hAnsi="Arial" w:cs="Arial"/>
          <w:b/>
          <w:bCs/>
          <w:sz w:val="22"/>
          <w:szCs w:val="22"/>
        </w:rPr>
        <w:t>jednoho právního rámce</w:t>
      </w:r>
      <w:r w:rsidRPr="001444AE">
        <w:rPr>
          <w:rFonts w:ascii="Arial" w:hAnsi="Arial" w:cs="Arial"/>
          <w:sz w:val="22"/>
          <w:szCs w:val="22"/>
        </w:rPr>
        <w:t> znamená </w:t>
      </w:r>
      <w:r w:rsidRPr="001444AE">
        <w:rPr>
          <w:rFonts w:ascii="Arial" w:hAnsi="Arial" w:cs="Arial"/>
          <w:b/>
          <w:bCs/>
          <w:sz w:val="22"/>
          <w:szCs w:val="22"/>
        </w:rPr>
        <w:t>silnější centrální dohled Komise</w:t>
      </w:r>
      <w:r w:rsidRPr="001444AE">
        <w:rPr>
          <w:rFonts w:ascii="Arial" w:hAnsi="Arial" w:cs="Arial"/>
          <w:sz w:val="22"/>
          <w:szCs w:val="22"/>
        </w:rPr>
        <w:t>.</w:t>
      </w:r>
    </w:p>
    <w:p w14:paraId="3F1267CE" w14:textId="77777777" w:rsidR="001444AE" w:rsidRPr="001444AE" w:rsidRDefault="001444AE">
      <w:pPr>
        <w:numPr>
          <w:ilvl w:val="0"/>
          <w:numId w:val="16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Komise bude schvalovat </w:t>
      </w:r>
      <w:r w:rsidRPr="001444AE">
        <w:rPr>
          <w:rFonts w:ascii="Arial" w:hAnsi="Arial" w:cs="Arial"/>
          <w:b/>
          <w:bCs/>
          <w:sz w:val="22"/>
          <w:szCs w:val="22"/>
        </w:rPr>
        <w:t>národní a regionální plány partnerství (NRP Plans)</w:t>
      </w:r>
      <w:r w:rsidRPr="001444AE">
        <w:rPr>
          <w:rFonts w:ascii="Arial" w:hAnsi="Arial" w:cs="Arial"/>
          <w:sz w:val="22"/>
          <w:szCs w:val="22"/>
        </w:rPr>
        <w:t>, čímž získává </w:t>
      </w:r>
      <w:r w:rsidRPr="001444AE">
        <w:rPr>
          <w:rFonts w:ascii="Arial" w:hAnsi="Arial" w:cs="Arial"/>
          <w:b/>
          <w:bCs/>
          <w:sz w:val="22"/>
          <w:szCs w:val="22"/>
        </w:rPr>
        <w:t>větší kontrolu nad strategickým směrováním výdajů</w:t>
      </w:r>
      <w:r w:rsidRPr="001444AE">
        <w:rPr>
          <w:rFonts w:ascii="Arial" w:hAnsi="Arial" w:cs="Arial"/>
          <w:sz w:val="22"/>
          <w:szCs w:val="22"/>
        </w:rPr>
        <w:t>.</w:t>
      </w:r>
    </w:p>
    <w:p w14:paraId="40251E81" w14:textId="77777777" w:rsidR="001444AE" w:rsidRPr="001444AE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1444A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2. Výkonnostní řízení a platby</w:t>
      </w:r>
    </w:p>
    <w:p w14:paraId="6B101E71" w14:textId="77777777" w:rsidR="001444AE" w:rsidRPr="001444AE" w:rsidRDefault="001444AE" w:rsidP="005E3883">
      <w:pPr>
        <w:numPr>
          <w:ilvl w:val="0"/>
          <w:numId w:val="17"/>
        </w:numPr>
        <w:spacing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Financování je </w:t>
      </w:r>
      <w:r w:rsidRPr="001444AE">
        <w:rPr>
          <w:rFonts w:ascii="Arial" w:hAnsi="Arial" w:cs="Arial"/>
          <w:b/>
          <w:bCs/>
          <w:sz w:val="22"/>
          <w:szCs w:val="22"/>
        </w:rPr>
        <w:t>vázáno na dosažení milníků a cílů</w:t>
      </w:r>
      <w:r w:rsidRPr="001444AE">
        <w:rPr>
          <w:rFonts w:ascii="Arial" w:hAnsi="Arial" w:cs="Arial"/>
          <w:sz w:val="22"/>
          <w:szCs w:val="22"/>
        </w:rPr>
        <w:t>, které schvaluje Komise.</w:t>
      </w:r>
    </w:p>
    <w:p w14:paraId="646CBE40" w14:textId="77777777" w:rsidR="001444AE" w:rsidRPr="001444AE" w:rsidRDefault="001444AE">
      <w:pPr>
        <w:numPr>
          <w:ilvl w:val="0"/>
          <w:numId w:val="17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Komise může </w:t>
      </w:r>
      <w:r w:rsidRPr="001444AE">
        <w:rPr>
          <w:rFonts w:ascii="Arial" w:hAnsi="Arial" w:cs="Arial"/>
          <w:b/>
          <w:bCs/>
          <w:sz w:val="22"/>
          <w:szCs w:val="22"/>
        </w:rPr>
        <w:t>pozastavit platby</w:t>
      </w:r>
      <w:r w:rsidRPr="001444AE">
        <w:rPr>
          <w:rFonts w:ascii="Arial" w:hAnsi="Arial" w:cs="Arial"/>
          <w:sz w:val="22"/>
          <w:szCs w:val="22"/>
        </w:rPr>
        <w:t> nebo provést </w:t>
      </w:r>
      <w:r w:rsidRPr="001444AE">
        <w:rPr>
          <w:rFonts w:ascii="Arial" w:hAnsi="Arial" w:cs="Arial"/>
          <w:b/>
          <w:bCs/>
          <w:sz w:val="22"/>
          <w:szCs w:val="22"/>
        </w:rPr>
        <w:t>finanční korekce</w:t>
      </w:r>
      <w:r w:rsidRPr="001444AE">
        <w:rPr>
          <w:rFonts w:ascii="Arial" w:hAnsi="Arial" w:cs="Arial"/>
          <w:sz w:val="22"/>
          <w:szCs w:val="22"/>
        </w:rPr>
        <w:t>, pokud nejsou cíle splněny – to posiluje její </w:t>
      </w:r>
      <w:r w:rsidRPr="001444AE">
        <w:rPr>
          <w:rFonts w:ascii="Arial" w:hAnsi="Arial" w:cs="Arial"/>
          <w:b/>
          <w:bCs/>
          <w:sz w:val="22"/>
          <w:szCs w:val="22"/>
        </w:rPr>
        <w:t>rozhodovací pravomoci</w:t>
      </w:r>
      <w:r w:rsidRPr="001444AE">
        <w:rPr>
          <w:rFonts w:ascii="Arial" w:hAnsi="Arial" w:cs="Arial"/>
          <w:sz w:val="22"/>
          <w:szCs w:val="22"/>
        </w:rPr>
        <w:t>.</w:t>
      </w:r>
    </w:p>
    <w:p w14:paraId="3ACB77FD" w14:textId="77777777" w:rsidR="001444AE" w:rsidRPr="001444AE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1444A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3. Zavedení EU Facility</w:t>
      </w:r>
    </w:p>
    <w:p w14:paraId="2AC6FD7A" w14:textId="77777777" w:rsidR="001444AE" w:rsidRPr="001444AE" w:rsidRDefault="001444AE" w:rsidP="005E3883">
      <w:pPr>
        <w:numPr>
          <w:ilvl w:val="0"/>
          <w:numId w:val="18"/>
        </w:numPr>
        <w:spacing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Nový nástroj </w:t>
      </w:r>
      <w:r w:rsidRPr="001444AE">
        <w:rPr>
          <w:rFonts w:ascii="Arial" w:hAnsi="Arial" w:cs="Arial"/>
          <w:b/>
          <w:bCs/>
          <w:sz w:val="22"/>
          <w:szCs w:val="22"/>
        </w:rPr>
        <w:t>EU Facility</w:t>
      </w:r>
      <w:r w:rsidRPr="001444AE">
        <w:rPr>
          <w:rFonts w:ascii="Arial" w:hAnsi="Arial" w:cs="Arial"/>
          <w:sz w:val="22"/>
          <w:szCs w:val="22"/>
        </w:rPr>
        <w:t> (71,9 mld. EUR) bude řízen </w:t>
      </w:r>
      <w:r w:rsidRPr="001444AE">
        <w:rPr>
          <w:rFonts w:ascii="Arial" w:hAnsi="Arial" w:cs="Arial"/>
          <w:b/>
          <w:bCs/>
          <w:sz w:val="22"/>
          <w:szCs w:val="22"/>
        </w:rPr>
        <w:t>centrálně Komisí</w:t>
      </w:r>
      <w:r w:rsidRPr="001444AE">
        <w:rPr>
          <w:rFonts w:ascii="Arial" w:hAnsi="Arial" w:cs="Arial"/>
          <w:sz w:val="22"/>
          <w:szCs w:val="22"/>
        </w:rPr>
        <w:t> pro krizové situace, přeshraniční projekty a strategické investice.</w:t>
      </w:r>
    </w:p>
    <w:p w14:paraId="2EF6FF9F" w14:textId="77777777" w:rsidR="001444AE" w:rsidRPr="001444AE" w:rsidRDefault="001444AE">
      <w:pPr>
        <w:numPr>
          <w:ilvl w:val="0"/>
          <w:numId w:val="18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Členské státy budou mít </w:t>
      </w:r>
      <w:r w:rsidRPr="001444AE">
        <w:rPr>
          <w:rFonts w:ascii="Arial" w:hAnsi="Arial" w:cs="Arial"/>
          <w:b/>
          <w:bCs/>
          <w:sz w:val="22"/>
          <w:szCs w:val="22"/>
        </w:rPr>
        <w:t>omezený vliv na přidělování těchto prostředků</w:t>
      </w:r>
      <w:r w:rsidRPr="001444AE">
        <w:rPr>
          <w:rFonts w:ascii="Arial" w:hAnsi="Arial" w:cs="Arial"/>
          <w:sz w:val="22"/>
          <w:szCs w:val="22"/>
        </w:rPr>
        <w:t>.</w:t>
      </w:r>
    </w:p>
    <w:p w14:paraId="54B9497B" w14:textId="77777777" w:rsidR="001444AE" w:rsidRPr="001444AE" w:rsidRDefault="001444AE" w:rsidP="001444AE">
      <w:pPr>
        <w:pStyle w:val="Nadpis1"/>
        <w:rPr>
          <w:sz w:val="22"/>
          <w:szCs w:val="22"/>
          <w:u w:val="single"/>
        </w:rPr>
      </w:pPr>
      <w:r w:rsidRPr="001444AE">
        <w:rPr>
          <w:rFonts w:eastAsia="Times New Roman"/>
          <w:b w:val="0"/>
          <w:color w:val="0070C0"/>
          <w:kern w:val="0"/>
          <w:sz w:val="22"/>
          <w:szCs w:val="22"/>
          <w:u w:val="single"/>
          <w:lang w:eastAsia="cs-CZ"/>
        </w:rPr>
        <w:t>Flexibilita rozpočtu</w:t>
      </w:r>
    </w:p>
    <w:p w14:paraId="6344E1E7" w14:textId="77777777" w:rsidR="001444AE" w:rsidRPr="001444AE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1444A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1. Integrované plány (NRP Plans)</w:t>
      </w:r>
    </w:p>
    <w:p w14:paraId="649B3C2C" w14:textId="77777777" w:rsidR="001444AE" w:rsidRPr="001444AE" w:rsidRDefault="001444AE" w:rsidP="005E3883">
      <w:pPr>
        <w:numPr>
          <w:ilvl w:val="0"/>
          <w:numId w:val="19"/>
        </w:numPr>
        <w:spacing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Členské státy mohou </w:t>
      </w:r>
      <w:r w:rsidRPr="001444AE">
        <w:rPr>
          <w:rFonts w:ascii="Arial" w:hAnsi="Arial" w:cs="Arial"/>
          <w:b/>
          <w:bCs/>
          <w:sz w:val="22"/>
          <w:szCs w:val="22"/>
        </w:rPr>
        <w:t>kombinovat různé fondy</w:t>
      </w:r>
      <w:r w:rsidRPr="001444AE">
        <w:rPr>
          <w:rFonts w:ascii="Arial" w:hAnsi="Arial" w:cs="Arial"/>
          <w:sz w:val="22"/>
          <w:szCs w:val="22"/>
        </w:rPr>
        <w:t> v rámci jednoho plánu podle svých priorit.</w:t>
      </w:r>
    </w:p>
    <w:p w14:paraId="32605B59" w14:textId="77777777" w:rsidR="001444AE" w:rsidRPr="001444AE" w:rsidRDefault="001444AE">
      <w:pPr>
        <w:numPr>
          <w:ilvl w:val="0"/>
          <w:numId w:val="1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Možnost </w:t>
      </w:r>
      <w:r w:rsidRPr="001444AE">
        <w:rPr>
          <w:rFonts w:ascii="Arial" w:hAnsi="Arial" w:cs="Arial"/>
          <w:b/>
          <w:bCs/>
          <w:sz w:val="22"/>
          <w:szCs w:val="22"/>
        </w:rPr>
        <w:t>přesouvat prostředky mezi fondy</w:t>
      </w:r>
      <w:r w:rsidRPr="001444AE">
        <w:rPr>
          <w:rFonts w:ascii="Arial" w:hAnsi="Arial" w:cs="Arial"/>
          <w:sz w:val="22"/>
          <w:szCs w:val="22"/>
        </w:rPr>
        <w:t> (např. z EFRR do ESF+) zvyšuje </w:t>
      </w:r>
      <w:r w:rsidRPr="001444AE">
        <w:rPr>
          <w:rFonts w:ascii="Arial" w:hAnsi="Arial" w:cs="Arial"/>
          <w:b/>
          <w:bCs/>
          <w:sz w:val="22"/>
          <w:szCs w:val="22"/>
        </w:rPr>
        <w:t>programovou flexibilitu</w:t>
      </w:r>
      <w:r w:rsidRPr="001444AE">
        <w:rPr>
          <w:rFonts w:ascii="Arial" w:hAnsi="Arial" w:cs="Arial"/>
          <w:sz w:val="22"/>
          <w:szCs w:val="22"/>
        </w:rPr>
        <w:t>.</w:t>
      </w:r>
    </w:p>
    <w:p w14:paraId="359D265F" w14:textId="77777777" w:rsidR="001444AE" w:rsidRPr="001444AE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1444A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2. Reakce na krize</w:t>
      </w:r>
    </w:p>
    <w:p w14:paraId="68D5D776" w14:textId="77777777" w:rsidR="001444AE" w:rsidRPr="001444AE" w:rsidRDefault="001444AE" w:rsidP="005E3883">
      <w:pPr>
        <w:numPr>
          <w:ilvl w:val="0"/>
          <w:numId w:val="20"/>
        </w:numPr>
        <w:spacing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Zavedení </w:t>
      </w:r>
      <w:r w:rsidRPr="001444AE">
        <w:rPr>
          <w:rFonts w:ascii="Arial" w:hAnsi="Arial" w:cs="Arial"/>
          <w:b/>
          <w:bCs/>
          <w:sz w:val="22"/>
          <w:szCs w:val="22"/>
        </w:rPr>
        <w:t>rezervy pro mimořádné události</w:t>
      </w:r>
      <w:r w:rsidRPr="001444AE">
        <w:rPr>
          <w:rFonts w:ascii="Arial" w:hAnsi="Arial" w:cs="Arial"/>
          <w:sz w:val="22"/>
          <w:szCs w:val="22"/>
        </w:rPr>
        <w:t> a </w:t>
      </w:r>
      <w:r w:rsidRPr="001444AE">
        <w:rPr>
          <w:rFonts w:ascii="Arial" w:hAnsi="Arial" w:cs="Arial"/>
          <w:b/>
          <w:bCs/>
          <w:sz w:val="22"/>
          <w:szCs w:val="22"/>
        </w:rPr>
        <w:t>rychlého mechanismu přesměrování prostředků</w:t>
      </w:r>
      <w:r w:rsidRPr="001444AE">
        <w:rPr>
          <w:rFonts w:ascii="Arial" w:hAnsi="Arial" w:cs="Arial"/>
          <w:sz w:val="22"/>
          <w:szCs w:val="22"/>
        </w:rPr>
        <w:t> umožňuje pružně reagovat na:</w:t>
      </w:r>
    </w:p>
    <w:p w14:paraId="6EB7B89C" w14:textId="77777777" w:rsidR="001444AE" w:rsidRPr="001444AE" w:rsidRDefault="001444AE" w:rsidP="005E3883">
      <w:pPr>
        <w:numPr>
          <w:ilvl w:val="1"/>
          <w:numId w:val="20"/>
        </w:numPr>
        <w:spacing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klimatické katastrofy</w:t>
      </w:r>
    </w:p>
    <w:p w14:paraId="19322459" w14:textId="77777777" w:rsidR="001444AE" w:rsidRPr="001444AE" w:rsidRDefault="001444AE" w:rsidP="005E3883">
      <w:pPr>
        <w:numPr>
          <w:ilvl w:val="1"/>
          <w:numId w:val="20"/>
        </w:numPr>
        <w:spacing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migrační tlaky</w:t>
      </w:r>
    </w:p>
    <w:p w14:paraId="33A91E8F" w14:textId="77777777" w:rsidR="001444AE" w:rsidRPr="001444AE" w:rsidRDefault="001444AE">
      <w:pPr>
        <w:numPr>
          <w:ilvl w:val="1"/>
          <w:numId w:val="20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geopolitické hrozby</w:t>
      </w:r>
    </w:p>
    <w:p w14:paraId="7A061E93" w14:textId="77777777" w:rsidR="001444AE" w:rsidRPr="001444AE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1444A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3. Možnost úprav plánů</w:t>
      </w:r>
    </w:p>
    <w:p w14:paraId="57CFEA4F" w14:textId="77777777" w:rsidR="001444AE" w:rsidRPr="001444AE" w:rsidRDefault="001444AE" w:rsidP="005E3883">
      <w:pPr>
        <w:numPr>
          <w:ilvl w:val="0"/>
          <w:numId w:val="21"/>
        </w:numPr>
        <w:spacing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Členské státy mohou </w:t>
      </w:r>
      <w:r w:rsidRPr="001444AE">
        <w:rPr>
          <w:rFonts w:ascii="Arial" w:hAnsi="Arial" w:cs="Arial"/>
          <w:b/>
          <w:bCs/>
          <w:sz w:val="22"/>
          <w:szCs w:val="22"/>
        </w:rPr>
        <w:t>aktualizovat své plány</w:t>
      </w:r>
      <w:r w:rsidRPr="001444AE">
        <w:rPr>
          <w:rFonts w:ascii="Arial" w:hAnsi="Arial" w:cs="Arial"/>
          <w:sz w:val="22"/>
          <w:szCs w:val="22"/>
        </w:rPr>
        <w:t> v průběhu období (např. při změně priorit nebo krizích).</w:t>
      </w:r>
    </w:p>
    <w:p w14:paraId="5E5CAABF" w14:textId="77777777" w:rsidR="001444AE" w:rsidRPr="001444AE" w:rsidRDefault="001444AE">
      <w:pPr>
        <w:numPr>
          <w:ilvl w:val="0"/>
          <w:numId w:val="21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444AE">
        <w:rPr>
          <w:rFonts w:ascii="Arial" w:hAnsi="Arial" w:cs="Arial"/>
          <w:sz w:val="22"/>
          <w:szCs w:val="22"/>
        </w:rPr>
        <w:t>Komise má povinnost </w:t>
      </w:r>
      <w:r w:rsidRPr="001444AE">
        <w:rPr>
          <w:rFonts w:ascii="Arial" w:hAnsi="Arial" w:cs="Arial"/>
          <w:b/>
          <w:bCs/>
          <w:sz w:val="22"/>
          <w:szCs w:val="22"/>
        </w:rPr>
        <w:t>rychle reagovat na žádosti o změny</w:t>
      </w:r>
      <w:r w:rsidRPr="001444AE">
        <w:rPr>
          <w:rFonts w:ascii="Arial" w:hAnsi="Arial" w:cs="Arial"/>
          <w:sz w:val="22"/>
          <w:szCs w:val="22"/>
        </w:rPr>
        <w:t>, což podporuje </w:t>
      </w:r>
      <w:r w:rsidRPr="001444AE">
        <w:rPr>
          <w:rFonts w:ascii="Arial" w:hAnsi="Arial" w:cs="Arial"/>
          <w:b/>
          <w:bCs/>
          <w:sz w:val="22"/>
          <w:szCs w:val="22"/>
        </w:rPr>
        <w:t>adaptabilitu</w:t>
      </w:r>
      <w:r w:rsidRPr="001444AE">
        <w:rPr>
          <w:rFonts w:ascii="Arial" w:hAnsi="Arial" w:cs="Arial"/>
          <w:sz w:val="22"/>
          <w:szCs w:val="22"/>
        </w:rPr>
        <w:t>.</w:t>
      </w:r>
    </w:p>
    <w:p w14:paraId="7AAF8405" w14:textId="77777777" w:rsidR="005E3883" w:rsidRDefault="005E3883">
      <w:pPr>
        <w:spacing w:after="200" w:line="276" w:lineRule="auto"/>
        <w:rPr>
          <w:rFonts w:ascii="Arial" w:hAnsi="Arial" w:cs="Arial"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br w:type="page"/>
      </w:r>
    </w:p>
    <w:p w14:paraId="240F3742" w14:textId="35CC5396" w:rsidR="001444AE" w:rsidRPr="001444AE" w:rsidRDefault="001444AE" w:rsidP="001444AE">
      <w:pPr>
        <w:pStyle w:val="Nadpis1"/>
        <w:rPr>
          <w:rFonts w:eastAsia="Times New Roman"/>
          <w:b w:val="0"/>
          <w:bCs w:val="0"/>
          <w:color w:val="0070C0"/>
          <w:kern w:val="0"/>
          <w:sz w:val="22"/>
          <w:szCs w:val="22"/>
          <w:lang w:eastAsia="cs-CZ"/>
        </w:rPr>
      </w:pPr>
      <w:r w:rsidRPr="001444AE">
        <w:rPr>
          <w:rFonts w:eastAsia="Times New Roman"/>
          <w:b w:val="0"/>
          <w:bCs w:val="0"/>
          <w:color w:val="0070C0"/>
          <w:kern w:val="0"/>
          <w:sz w:val="22"/>
          <w:szCs w:val="22"/>
          <w:lang w:eastAsia="cs-CZ"/>
        </w:rPr>
        <w:lastRenderedPageBreak/>
        <w:t>Shrnutí: Rovnováha mezi centralizací a flexibilitou</w:t>
      </w:r>
    </w:p>
    <w:tbl>
      <w:tblPr>
        <w:tblW w:w="96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4"/>
        <w:gridCol w:w="2787"/>
        <w:gridCol w:w="4820"/>
      </w:tblGrid>
      <w:tr w:rsidR="001444AE" w14:paraId="468B687E" w14:textId="77777777" w:rsidTr="00E75948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6C79898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4DF0">
              <w:rPr>
                <w:rFonts w:ascii="Arial" w:hAnsi="Arial" w:cs="Arial"/>
                <w:b/>
                <w:bCs/>
                <w:sz w:val="22"/>
                <w:szCs w:val="22"/>
              </w:rPr>
              <w:t>Prvek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235F335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4DF0">
              <w:rPr>
                <w:rFonts w:ascii="Arial" w:hAnsi="Arial" w:cs="Arial"/>
                <w:b/>
                <w:bCs/>
                <w:sz w:val="22"/>
                <w:szCs w:val="22"/>
              </w:rPr>
              <w:t>Centralizace</w:t>
            </w:r>
          </w:p>
        </w:tc>
        <w:tc>
          <w:tcPr>
            <w:tcW w:w="4775" w:type="dxa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AC018FC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4DF0">
              <w:rPr>
                <w:rFonts w:ascii="Arial" w:hAnsi="Arial" w:cs="Arial"/>
                <w:b/>
                <w:bCs/>
                <w:sz w:val="22"/>
                <w:szCs w:val="22"/>
              </w:rPr>
              <w:t>Flexibilita</w:t>
            </w:r>
          </w:p>
        </w:tc>
      </w:tr>
      <w:tr w:rsidR="001444AE" w14:paraId="0786609F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D3487A8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Arial" w:hAnsi="Arial" w:cs="Arial"/>
                <w:sz w:val="22"/>
                <w:szCs w:val="22"/>
              </w:rPr>
              <w:t>Schvalování plánů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34528BA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Segoe UI Emoji" w:hAnsi="Segoe UI Emoji" w:cs="Segoe UI Emoji"/>
                <w:sz w:val="22"/>
                <w:szCs w:val="22"/>
              </w:rPr>
              <w:t>✅</w:t>
            </w:r>
            <w:r w:rsidRPr="00214DF0">
              <w:rPr>
                <w:rFonts w:ascii="Arial" w:hAnsi="Arial" w:cs="Arial"/>
                <w:sz w:val="22"/>
                <w:szCs w:val="22"/>
              </w:rPr>
              <w:t xml:space="preserve"> Komise rozhoduje</w:t>
            </w:r>
          </w:p>
        </w:tc>
        <w:tc>
          <w:tcPr>
            <w:tcW w:w="4775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F38223D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Segoe UI Emoji" w:hAnsi="Segoe UI Emoji" w:cs="Segoe UI Emoji"/>
                <w:sz w:val="22"/>
                <w:szCs w:val="22"/>
              </w:rPr>
              <w:t>🔄</w:t>
            </w:r>
            <w:r w:rsidRPr="00214DF0">
              <w:rPr>
                <w:rFonts w:ascii="Arial" w:hAnsi="Arial" w:cs="Arial"/>
                <w:sz w:val="22"/>
                <w:szCs w:val="22"/>
              </w:rPr>
              <w:t xml:space="preserve"> Možnost úprav plánů</w:t>
            </w:r>
          </w:p>
        </w:tc>
      </w:tr>
      <w:tr w:rsidR="001444AE" w14:paraId="4CAAE622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9355ACD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Arial" w:hAnsi="Arial" w:cs="Arial"/>
                <w:sz w:val="22"/>
                <w:szCs w:val="22"/>
              </w:rPr>
              <w:t>Alokace fondů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EE9364D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Segoe UI Emoji" w:hAnsi="Segoe UI Emoji" w:cs="Segoe UI Emoji"/>
                <w:sz w:val="22"/>
                <w:szCs w:val="22"/>
              </w:rPr>
              <w:t>✅</w:t>
            </w:r>
            <w:r w:rsidRPr="00214DF0">
              <w:rPr>
                <w:rFonts w:ascii="Arial" w:hAnsi="Arial" w:cs="Arial"/>
                <w:sz w:val="22"/>
                <w:szCs w:val="22"/>
              </w:rPr>
              <w:t xml:space="preserve"> Výkonnostní rámec</w:t>
            </w:r>
          </w:p>
        </w:tc>
        <w:tc>
          <w:tcPr>
            <w:tcW w:w="4775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3D4FAEA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Segoe UI Emoji" w:hAnsi="Segoe UI Emoji" w:cs="Segoe UI Emoji"/>
                <w:sz w:val="22"/>
                <w:szCs w:val="22"/>
              </w:rPr>
              <w:t>🔄</w:t>
            </w:r>
            <w:r w:rsidRPr="00214DF0">
              <w:rPr>
                <w:rFonts w:ascii="Arial" w:hAnsi="Arial" w:cs="Arial"/>
                <w:sz w:val="22"/>
                <w:szCs w:val="22"/>
              </w:rPr>
              <w:t xml:space="preserve"> Přesuny mezi fondy</w:t>
            </w:r>
          </w:p>
        </w:tc>
      </w:tr>
      <w:tr w:rsidR="001444AE" w14:paraId="141BF795" w14:textId="77777777" w:rsidTr="00E75948">
        <w:trPr>
          <w:trHeight w:val="652"/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34B7B65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Arial" w:hAnsi="Arial" w:cs="Arial"/>
                <w:sz w:val="22"/>
                <w:szCs w:val="22"/>
              </w:rPr>
              <w:t>Krizové nástroje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1C9B1C1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Segoe UI Emoji" w:hAnsi="Segoe UI Emoji" w:cs="Segoe UI Emoji"/>
                <w:sz w:val="22"/>
                <w:szCs w:val="22"/>
              </w:rPr>
              <w:t>✅</w:t>
            </w:r>
            <w:r w:rsidRPr="00214DF0">
              <w:rPr>
                <w:rFonts w:ascii="Arial" w:hAnsi="Arial" w:cs="Arial"/>
                <w:sz w:val="22"/>
                <w:szCs w:val="22"/>
              </w:rPr>
              <w:t xml:space="preserve"> EU Facility řízená Komisí</w:t>
            </w:r>
          </w:p>
        </w:tc>
        <w:tc>
          <w:tcPr>
            <w:tcW w:w="4775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1B4E759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Segoe UI Emoji" w:hAnsi="Segoe UI Emoji" w:cs="Segoe UI Emoji"/>
                <w:sz w:val="22"/>
                <w:szCs w:val="22"/>
              </w:rPr>
              <w:t>✅</w:t>
            </w:r>
            <w:r w:rsidRPr="00214DF0">
              <w:rPr>
                <w:rFonts w:ascii="Arial" w:hAnsi="Arial" w:cs="Arial"/>
                <w:sz w:val="22"/>
                <w:szCs w:val="22"/>
              </w:rPr>
              <w:t xml:space="preserve"> Rychlá reakce na krize</w:t>
            </w:r>
          </w:p>
        </w:tc>
      </w:tr>
      <w:tr w:rsidR="001444AE" w14:paraId="67B691C7" w14:textId="77777777" w:rsidTr="00E75948">
        <w:trPr>
          <w:trHeight w:val="598"/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0FF5D617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Arial" w:hAnsi="Arial" w:cs="Arial"/>
                <w:sz w:val="22"/>
                <w:szCs w:val="22"/>
              </w:rPr>
              <w:t>Kontrola a audit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6522FB5B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Segoe UI Emoji" w:hAnsi="Segoe UI Emoji" w:cs="Segoe UI Emoji"/>
                <w:sz w:val="22"/>
                <w:szCs w:val="22"/>
              </w:rPr>
              <w:t>✅</w:t>
            </w:r>
            <w:r w:rsidRPr="00214DF0">
              <w:rPr>
                <w:rFonts w:ascii="Arial" w:hAnsi="Arial" w:cs="Arial"/>
                <w:sz w:val="22"/>
                <w:szCs w:val="22"/>
              </w:rPr>
              <w:t xml:space="preserve"> Jednotný rámec a audit</w:t>
            </w:r>
          </w:p>
        </w:tc>
        <w:tc>
          <w:tcPr>
            <w:tcW w:w="4775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0A11CB72" w14:textId="77777777" w:rsidR="001444AE" w:rsidRPr="00214DF0" w:rsidRDefault="001444AE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214DF0">
              <w:rPr>
                <w:rFonts w:ascii="Segoe UI Emoji" w:hAnsi="Segoe UI Emoji" w:cs="Segoe UI Emoji"/>
                <w:sz w:val="22"/>
                <w:szCs w:val="22"/>
              </w:rPr>
              <w:t>❌</w:t>
            </w:r>
            <w:r w:rsidRPr="00214DF0">
              <w:rPr>
                <w:rFonts w:ascii="Arial" w:hAnsi="Arial" w:cs="Arial"/>
                <w:sz w:val="22"/>
                <w:szCs w:val="22"/>
              </w:rPr>
              <w:t xml:space="preserve"> Omezený prostor pro národní přístupy</w:t>
            </w:r>
          </w:p>
        </w:tc>
      </w:tr>
    </w:tbl>
    <w:p w14:paraId="6203766D" w14:textId="77777777" w:rsidR="001444AE" w:rsidRPr="009965F0" w:rsidRDefault="001444AE" w:rsidP="001444AE"/>
    <w:p w14:paraId="39E32C75" w14:textId="77777777" w:rsidR="001444AE" w:rsidRPr="00413C59" w:rsidRDefault="001444AE" w:rsidP="00413C59">
      <w:pPr>
        <w:spacing w:after="240"/>
        <w:rPr>
          <w:rFonts w:ascii="Arial" w:hAnsi="Arial" w:cs="Arial"/>
          <w:b/>
          <w:color w:val="0070C0"/>
          <w:sz w:val="22"/>
          <w:szCs w:val="22"/>
        </w:rPr>
      </w:pPr>
      <w:r w:rsidRPr="00413C59">
        <w:rPr>
          <w:rFonts w:ascii="Arial" w:hAnsi="Arial" w:cs="Arial"/>
          <w:b/>
          <w:color w:val="0070C0"/>
          <w:sz w:val="22"/>
          <w:szCs w:val="22"/>
        </w:rPr>
        <w:t>FINANCOVÁNÍ DLE VÝKONNOSTI</w:t>
      </w:r>
    </w:p>
    <w:p w14:paraId="5B2D5DD1" w14:textId="61B2AA36" w:rsidR="001444AE" w:rsidRPr="00413C59" w:rsidRDefault="001444AE" w:rsidP="00413C5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Model financování je </w:t>
      </w:r>
      <w:r w:rsidRPr="00413C59">
        <w:rPr>
          <w:rFonts w:ascii="Arial" w:hAnsi="Arial" w:cs="Arial"/>
          <w:b/>
          <w:bCs/>
          <w:sz w:val="22"/>
          <w:szCs w:val="22"/>
        </w:rPr>
        <w:t>výkonnostně orientovaný</w:t>
      </w:r>
      <w:r w:rsidRPr="00413C59">
        <w:rPr>
          <w:rFonts w:ascii="Arial" w:hAnsi="Arial" w:cs="Arial"/>
          <w:sz w:val="22"/>
          <w:szCs w:val="22"/>
        </w:rPr>
        <w:t>, založený na </w:t>
      </w:r>
      <w:r w:rsidRPr="00413C59">
        <w:rPr>
          <w:rFonts w:ascii="Arial" w:hAnsi="Arial" w:cs="Arial"/>
          <w:b/>
          <w:bCs/>
          <w:sz w:val="22"/>
          <w:szCs w:val="22"/>
        </w:rPr>
        <w:t>milnících, cílech a</w:t>
      </w:r>
      <w:r w:rsidR="00214DF0">
        <w:rPr>
          <w:rFonts w:ascii="Arial" w:hAnsi="Arial" w:cs="Arial"/>
          <w:b/>
          <w:bCs/>
          <w:sz w:val="22"/>
          <w:szCs w:val="22"/>
        </w:rPr>
        <w:t> </w:t>
      </w:r>
      <w:r w:rsidRPr="00413C59">
        <w:rPr>
          <w:rFonts w:ascii="Arial" w:hAnsi="Arial" w:cs="Arial"/>
          <w:b/>
          <w:bCs/>
          <w:sz w:val="22"/>
          <w:szCs w:val="22"/>
        </w:rPr>
        <w:t>výstupech</w:t>
      </w:r>
      <w:r w:rsidRPr="00413C59">
        <w:rPr>
          <w:rFonts w:ascii="Arial" w:hAnsi="Arial" w:cs="Arial"/>
          <w:sz w:val="22"/>
          <w:szCs w:val="22"/>
        </w:rPr>
        <w:t>, s jasnými pravidly pro </w:t>
      </w:r>
      <w:r w:rsidRPr="00413C59">
        <w:rPr>
          <w:rFonts w:ascii="Arial" w:hAnsi="Arial" w:cs="Arial"/>
          <w:b/>
          <w:bCs/>
          <w:sz w:val="22"/>
          <w:szCs w:val="22"/>
        </w:rPr>
        <w:t>hodnocení, platby a sankce</w:t>
      </w:r>
      <w:r w:rsidRPr="00413C59">
        <w:rPr>
          <w:rFonts w:ascii="Arial" w:hAnsi="Arial" w:cs="Arial"/>
          <w:sz w:val="22"/>
          <w:szCs w:val="22"/>
        </w:rPr>
        <w:t>. Tento přístup má potenciál zvýšit efektivitu a strategické zaměření výdajů EU, ale zároveň klade vysoké nároky na řízení, plánování a dokumentaci ze strany členských států.</w:t>
      </w:r>
    </w:p>
    <w:p w14:paraId="7675088B" w14:textId="77777777" w:rsidR="001444AE" w:rsidRPr="00413C59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1. Základní princip: platba za výsledky</w:t>
      </w:r>
    </w:p>
    <w:p w14:paraId="02D5B2BD" w14:textId="77777777" w:rsidR="001444AE" w:rsidRPr="00413C59" w:rsidRDefault="001444AE" w:rsidP="005E3883">
      <w:pPr>
        <w:numPr>
          <w:ilvl w:val="0"/>
          <w:numId w:val="22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Financování je </w:t>
      </w:r>
      <w:r w:rsidRPr="00413C59">
        <w:rPr>
          <w:rFonts w:ascii="Arial" w:hAnsi="Arial" w:cs="Arial"/>
          <w:b/>
          <w:bCs/>
          <w:sz w:val="22"/>
          <w:szCs w:val="22"/>
        </w:rPr>
        <w:t>vázáno na dosažení předem stanovených milníků a cílů</w:t>
      </w:r>
      <w:r w:rsidRPr="00413C59">
        <w:rPr>
          <w:rFonts w:ascii="Arial" w:hAnsi="Arial" w:cs="Arial"/>
          <w:sz w:val="22"/>
          <w:szCs w:val="22"/>
        </w:rPr>
        <w:t>.</w:t>
      </w:r>
    </w:p>
    <w:p w14:paraId="5B36A20C" w14:textId="77777777" w:rsidR="001444AE" w:rsidRPr="00413C59" w:rsidRDefault="001444AE" w:rsidP="005E3883">
      <w:pPr>
        <w:numPr>
          <w:ilvl w:val="0"/>
          <w:numId w:val="22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Členské státy musí </w:t>
      </w:r>
      <w:r w:rsidRPr="00413C59">
        <w:rPr>
          <w:rFonts w:ascii="Arial" w:hAnsi="Arial" w:cs="Arial"/>
          <w:b/>
          <w:bCs/>
          <w:sz w:val="22"/>
          <w:szCs w:val="22"/>
        </w:rPr>
        <w:t>prokázat splnění</w:t>
      </w:r>
      <w:r w:rsidRPr="00413C59">
        <w:rPr>
          <w:rFonts w:ascii="Arial" w:hAnsi="Arial" w:cs="Arial"/>
          <w:sz w:val="22"/>
          <w:szCs w:val="22"/>
        </w:rPr>
        <w:t> těchto milníků a cílů, aby mohly žádat o platbu.</w:t>
      </w:r>
    </w:p>
    <w:p w14:paraId="59F398B3" w14:textId="77777777" w:rsidR="001444AE" w:rsidRPr="00413C59" w:rsidRDefault="001444AE">
      <w:pPr>
        <w:numPr>
          <w:ilvl w:val="0"/>
          <w:numId w:val="2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Hodnocení se provádí </w:t>
      </w:r>
      <w:r w:rsidRPr="00413C59">
        <w:rPr>
          <w:rFonts w:ascii="Arial" w:hAnsi="Arial" w:cs="Arial"/>
          <w:b/>
          <w:bCs/>
          <w:sz w:val="22"/>
          <w:szCs w:val="22"/>
        </w:rPr>
        <w:t>komplexně</w:t>
      </w:r>
      <w:r w:rsidRPr="00413C59">
        <w:rPr>
          <w:rFonts w:ascii="Arial" w:hAnsi="Arial" w:cs="Arial"/>
          <w:sz w:val="22"/>
          <w:szCs w:val="22"/>
        </w:rPr>
        <w:t>, s ohledem na formulaci, účel a kontext každého milníku/cíle.</w:t>
      </w:r>
    </w:p>
    <w:p w14:paraId="713602E9" w14:textId="77777777" w:rsidR="001444AE" w:rsidRPr="00413C59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2. Proces žádosti o platbu</w:t>
      </w:r>
    </w:p>
    <w:p w14:paraId="401A9676" w14:textId="77777777" w:rsidR="001444AE" w:rsidRPr="00413C59" w:rsidRDefault="001444AE" w:rsidP="005E3883">
      <w:pPr>
        <w:numPr>
          <w:ilvl w:val="0"/>
          <w:numId w:val="23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Platby se provádějí na základě </w:t>
      </w:r>
      <w:r w:rsidRPr="00413C59">
        <w:rPr>
          <w:rFonts w:ascii="Arial" w:hAnsi="Arial" w:cs="Arial"/>
          <w:b/>
          <w:bCs/>
          <w:sz w:val="22"/>
          <w:szCs w:val="22"/>
        </w:rPr>
        <w:t>žádosti o platbu</w:t>
      </w:r>
      <w:r w:rsidRPr="00413C59">
        <w:rPr>
          <w:rFonts w:ascii="Arial" w:hAnsi="Arial" w:cs="Arial"/>
          <w:sz w:val="22"/>
          <w:szCs w:val="22"/>
        </w:rPr>
        <w:t> (template v příloze XI).</w:t>
      </w:r>
    </w:p>
    <w:p w14:paraId="570B0369" w14:textId="77777777" w:rsidR="001444AE" w:rsidRPr="00413C59" w:rsidRDefault="001444AE" w:rsidP="005E3883">
      <w:pPr>
        <w:numPr>
          <w:ilvl w:val="0"/>
          <w:numId w:val="23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Žádost musí být </w:t>
      </w:r>
      <w:r w:rsidRPr="00413C59">
        <w:rPr>
          <w:rFonts w:ascii="Arial" w:hAnsi="Arial" w:cs="Arial"/>
          <w:b/>
          <w:bCs/>
          <w:sz w:val="22"/>
          <w:szCs w:val="22"/>
        </w:rPr>
        <w:t>podložena důkazy</w:t>
      </w:r>
      <w:r w:rsidRPr="00413C59">
        <w:rPr>
          <w:rFonts w:ascii="Arial" w:hAnsi="Arial" w:cs="Arial"/>
          <w:sz w:val="22"/>
          <w:szCs w:val="22"/>
        </w:rPr>
        <w:t> o dosažení výsledků.</w:t>
      </w:r>
    </w:p>
    <w:p w14:paraId="5C8EA51D" w14:textId="77777777" w:rsidR="001444AE" w:rsidRPr="00413C59" w:rsidRDefault="001444AE" w:rsidP="005E3883">
      <w:pPr>
        <w:numPr>
          <w:ilvl w:val="0"/>
          <w:numId w:val="23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Maximálně 6 žádostí ročně</w:t>
      </w:r>
      <w:r w:rsidRPr="00413C59">
        <w:rPr>
          <w:rFonts w:ascii="Arial" w:hAnsi="Arial" w:cs="Arial"/>
          <w:sz w:val="22"/>
          <w:szCs w:val="22"/>
        </w:rPr>
        <w:t>, do 31. října.</w:t>
      </w:r>
    </w:p>
    <w:p w14:paraId="67613ECC" w14:textId="77777777" w:rsidR="001444AE" w:rsidRPr="00413C59" w:rsidRDefault="001444AE">
      <w:pPr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Podmínka</w:t>
      </w:r>
      <w:r w:rsidRPr="00413C59">
        <w:rPr>
          <w:rFonts w:ascii="Arial" w:hAnsi="Arial" w:cs="Arial"/>
          <w:sz w:val="22"/>
          <w:szCs w:val="22"/>
        </w:rPr>
        <w:t>: předložení aktuálního </w:t>
      </w:r>
      <w:r w:rsidRPr="00413C59">
        <w:rPr>
          <w:rFonts w:ascii="Arial" w:hAnsi="Arial" w:cs="Arial"/>
          <w:b/>
          <w:bCs/>
          <w:sz w:val="22"/>
          <w:szCs w:val="22"/>
        </w:rPr>
        <w:t>balíčku zajištění</w:t>
      </w:r>
      <w:r w:rsidRPr="00413C59">
        <w:rPr>
          <w:rFonts w:ascii="Arial" w:hAnsi="Arial" w:cs="Arial"/>
          <w:sz w:val="22"/>
          <w:szCs w:val="22"/>
        </w:rPr>
        <w:t> (audit, prohlášení o řízení).</w:t>
      </w:r>
    </w:p>
    <w:p w14:paraId="18B2FC37" w14:textId="77777777" w:rsidR="001444AE" w:rsidRPr="00413C59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3. Harmonogram plateb</w:t>
      </w:r>
    </w:p>
    <w:p w14:paraId="2582973C" w14:textId="77777777" w:rsidR="001444AE" w:rsidRPr="00413C59" w:rsidRDefault="001444AE" w:rsidP="005E3883">
      <w:pPr>
        <w:numPr>
          <w:ilvl w:val="0"/>
          <w:numId w:val="24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Komise provede platbu do </w:t>
      </w:r>
      <w:r w:rsidRPr="00413C59">
        <w:rPr>
          <w:rFonts w:ascii="Arial" w:hAnsi="Arial" w:cs="Arial"/>
          <w:b/>
          <w:bCs/>
          <w:sz w:val="22"/>
          <w:szCs w:val="22"/>
        </w:rPr>
        <w:t>60 dnů</w:t>
      </w:r>
      <w:r w:rsidRPr="00413C59">
        <w:rPr>
          <w:rFonts w:ascii="Arial" w:hAnsi="Arial" w:cs="Arial"/>
          <w:sz w:val="22"/>
          <w:szCs w:val="22"/>
        </w:rPr>
        <w:t> od obdržení žádosti (pokud jsou prostředky dostupné).</w:t>
      </w:r>
    </w:p>
    <w:p w14:paraId="1DF096B1" w14:textId="77777777" w:rsidR="001444AE" w:rsidRPr="00413C59" w:rsidRDefault="001444AE" w:rsidP="005E3883">
      <w:pPr>
        <w:numPr>
          <w:ilvl w:val="0"/>
          <w:numId w:val="24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Kumulativní limit</w:t>
      </w:r>
      <w:r w:rsidRPr="00413C59">
        <w:rPr>
          <w:rFonts w:ascii="Arial" w:hAnsi="Arial" w:cs="Arial"/>
          <w:sz w:val="22"/>
          <w:szCs w:val="22"/>
        </w:rPr>
        <w:t>: max. 95 % prostředků může být vyplaceno před závěrečným vyúčtováním.</w:t>
      </w:r>
    </w:p>
    <w:p w14:paraId="31D1B920" w14:textId="77777777" w:rsidR="001444AE" w:rsidRPr="00413C59" w:rsidRDefault="001444AE">
      <w:pPr>
        <w:numPr>
          <w:ilvl w:val="0"/>
          <w:numId w:val="24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Závěrečná platba do </w:t>
      </w:r>
      <w:r w:rsidRPr="00413C59">
        <w:rPr>
          <w:rFonts w:ascii="Arial" w:hAnsi="Arial" w:cs="Arial"/>
          <w:b/>
          <w:bCs/>
          <w:sz w:val="22"/>
          <w:szCs w:val="22"/>
        </w:rPr>
        <w:t>10 měsíců</w:t>
      </w:r>
      <w:r w:rsidRPr="00413C59">
        <w:rPr>
          <w:rFonts w:ascii="Arial" w:hAnsi="Arial" w:cs="Arial"/>
          <w:sz w:val="22"/>
          <w:szCs w:val="22"/>
        </w:rPr>
        <w:t> po předložení finálního balíčku zajištění.</w:t>
      </w:r>
    </w:p>
    <w:p w14:paraId="55B7DCA3" w14:textId="77777777" w:rsidR="001444AE" w:rsidRPr="00413C59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lastRenderedPageBreak/>
        <w:t>4. Rizika a sankce</w:t>
      </w:r>
    </w:p>
    <w:p w14:paraId="09983528" w14:textId="77777777" w:rsidR="001444AE" w:rsidRPr="00413C59" w:rsidRDefault="001444AE" w:rsidP="005E3883">
      <w:pPr>
        <w:numPr>
          <w:ilvl w:val="0"/>
          <w:numId w:val="25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Pokud milník/cíl </w:t>
      </w:r>
      <w:r w:rsidRPr="00413C59">
        <w:rPr>
          <w:rFonts w:ascii="Arial" w:hAnsi="Arial" w:cs="Arial"/>
          <w:b/>
          <w:bCs/>
          <w:sz w:val="22"/>
          <w:szCs w:val="22"/>
        </w:rPr>
        <w:t>není splněn nebo je zrušen</w:t>
      </w:r>
      <w:r w:rsidRPr="00413C59">
        <w:rPr>
          <w:rFonts w:ascii="Arial" w:hAnsi="Arial" w:cs="Arial"/>
          <w:sz w:val="22"/>
          <w:szCs w:val="22"/>
        </w:rPr>
        <w:t>, může Komise:</w:t>
      </w:r>
    </w:p>
    <w:p w14:paraId="2F3BEE23" w14:textId="77777777" w:rsidR="001444AE" w:rsidRPr="00413C59" w:rsidRDefault="001444AE" w:rsidP="005E3883">
      <w:pPr>
        <w:numPr>
          <w:ilvl w:val="1"/>
          <w:numId w:val="25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Pozastavit platbu</w:t>
      </w:r>
      <w:r w:rsidRPr="00413C59">
        <w:rPr>
          <w:rFonts w:ascii="Arial" w:hAnsi="Arial" w:cs="Arial"/>
          <w:sz w:val="22"/>
          <w:szCs w:val="22"/>
        </w:rPr>
        <w:t> (čl. 66–67).</w:t>
      </w:r>
    </w:p>
    <w:p w14:paraId="292B8DCE" w14:textId="77777777" w:rsidR="001444AE" w:rsidRPr="00413C59" w:rsidRDefault="001444AE" w:rsidP="005E3883">
      <w:pPr>
        <w:numPr>
          <w:ilvl w:val="1"/>
          <w:numId w:val="25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Uplatnit finanční korekci</w:t>
      </w:r>
      <w:r w:rsidRPr="00413C59">
        <w:rPr>
          <w:rFonts w:ascii="Arial" w:hAnsi="Arial" w:cs="Arial"/>
          <w:sz w:val="22"/>
          <w:szCs w:val="22"/>
        </w:rPr>
        <w:t> (čl. 68).</w:t>
      </w:r>
    </w:p>
    <w:p w14:paraId="06EBF08E" w14:textId="77777777" w:rsidR="001444AE" w:rsidRPr="00413C59" w:rsidRDefault="001444AE" w:rsidP="005E3883">
      <w:pPr>
        <w:numPr>
          <w:ilvl w:val="1"/>
          <w:numId w:val="25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Požadovat vrácení prostředků</w:t>
      </w:r>
      <w:r w:rsidRPr="00413C59">
        <w:rPr>
          <w:rFonts w:ascii="Arial" w:hAnsi="Arial" w:cs="Arial"/>
          <w:sz w:val="22"/>
          <w:szCs w:val="22"/>
        </w:rPr>
        <w:t>.</w:t>
      </w:r>
    </w:p>
    <w:p w14:paraId="24782D76" w14:textId="77777777" w:rsidR="001444AE" w:rsidRPr="00413C59" w:rsidRDefault="001444AE">
      <w:pPr>
        <w:numPr>
          <w:ilvl w:val="0"/>
          <w:numId w:val="2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Reverze milníku/cíle</w:t>
      </w:r>
      <w:r w:rsidRPr="00413C59">
        <w:rPr>
          <w:rFonts w:ascii="Arial" w:hAnsi="Arial" w:cs="Arial"/>
          <w:sz w:val="22"/>
          <w:szCs w:val="22"/>
        </w:rPr>
        <w:t> do 5 let od platby může vést k sankcím.</w:t>
      </w:r>
    </w:p>
    <w:p w14:paraId="3174D259" w14:textId="77777777" w:rsidR="001444AE" w:rsidRPr="00413C59" w:rsidRDefault="001444AE" w:rsidP="001444AE">
      <w:pPr>
        <w:pStyle w:val="Nadpis1"/>
        <w:rPr>
          <w:sz w:val="22"/>
          <w:szCs w:val="22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5</w:t>
      </w:r>
      <w:r w:rsidRPr="00413C59">
        <w:rPr>
          <w:sz w:val="22"/>
          <w:szCs w:val="22"/>
        </w:rPr>
        <w:t xml:space="preserve">. </w:t>
      </w: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Výhody modelu</w:t>
      </w:r>
    </w:p>
    <w:p w14:paraId="69B668EF" w14:textId="77777777" w:rsidR="001444AE" w:rsidRPr="00413C59" w:rsidRDefault="001444AE" w:rsidP="005E3883">
      <w:pPr>
        <w:numPr>
          <w:ilvl w:val="0"/>
          <w:numId w:val="26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Lepší hodnota za peníze</w:t>
      </w:r>
      <w:r w:rsidRPr="00413C59">
        <w:rPr>
          <w:rFonts w:ascii="Arial" w:hAnsi="Arial" w:cs="Arial"/>
          <w:sz w:val="22"/>
          <w:szCs w:val="22"/>
        </w:rPr>
        <w:t> – platby jsou vázány na skutečné výsledky.</w:t>
      </w:r>
    </w:p>
    <w:p w14:paraId="15E49967" w14:textId="77777777" w:rsidR="001444AE" w:rsidRPr="00413C59" w:rsidRDefault="001444AE" w:rsidP="005E3883">
      <w:pPr>
        <w:numPr>
          <w:ilvl w:val="0"/>
          <w:numId w:val="26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Zjednodušení</w:t>
      </w:r>
      <w:r w:rsidRPr="00413C59">
        <w:rPr>
          <w:rFonts w:ascii="Arial" w:hAnsi="Arial" w:cs="Arial"/>
          <w:sz w:val="22"/>
          <w:szCs w:val="22"/>
        </w:rPr>
        <w:t> – méně kontrol nákladů, důraz na výstupy.</w:t>
      </w:r>
    </w:p>
    <w:p w14:paraId="7DDDD291" w14:textId="77777777" w:rsidR="001444AE" w:rsidRPr="00413C59" w:rsidRDefault="001444AE">
      <w:pPr>
        <w:numPr>
          <w:ilvl w:val="0"/>
          <w:numId w:val="26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Motivace k reformám</w:t>
      </w:r>
      <w:r w:rsidRPr="00413C59">
        <w:rPr>
          <w:rFonts w:ascii="Arial" w:hAnsi="Arial" w:cs="Arial"/>
          <w:sz w:val="22"/>
          <w:szCs w:val="22"/>
        </w:rPr>
        <w:t> – členské státy mají větší odpovědnost za dosažení cílů.</w:t>
      </w:r>
    </w:p>
    <w:p w14:paraId="41E3EFD3" w14:textId="77777777" w:rsidR="001444AE" w:rsidRPr="00413C59" w:rsidRDefault="001444AE" w:rsidP="00413C59">
      <w:pPr>
        <w:rPr>
          <w:rFonts w:ascii="Arial" w:hAnsi="Arial" w:cs="Arial"/>
          <w:b/>
          <w:color w:val="0070C0"/>
          <w:sz w:val="22"/>
          <w:szCs w:val="22"/>
        </w:rPr>
      </w:pPr>
      <w:r w:rsidRPr="00413C59">
        <w:rPr>
          <w:rFonts w:ascii="Arial" w:hAnsi="Arial" w:cs="Arial"/>
          <w:b/>
          <w:color w:val="0070C0"/>
          <w:sz w:val="22"/>
          <w:szCs w:val="22"/>
        </w:rPr>
        <w:t>VÝZKUM, VÝVOJ A INOVACE</w:t>
      </w:r>
    </w:p>
    <w:p w14:paraId="607441E6" w14:textId="77777777" w:rsidR="001444AE" w:rsidRPr="00413C59" w:rsidRDefault="001444AE" w:rsidP="00413C59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1.  Strategické ukotvení VaVaI</w:t>
      </w:r>
    </w:p>
    <w:p w14:paraId="671102FF" w14:textId="77777777" w:rsidR="001444AE" w:rsidRPr="00413C59" w:rsidRDefault="001444AE" w:rsidP="005E3883">
      <w:pPr>
        <w:numPr>
          <w:ilvl w:val="0"/>
          <w:numId w:val="27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Inovace a výzkum jsou </w:t>
      </w:r>
      <w:r w:rsidRPr="00413C59">
        <w:rPr>
          <w:rFonts w:ascii="Arial" w:hAnsi="Arial" w:cs="Arial"/>
          <w:b/>
          <w:bCs/>
          <w:sz w:val="22"/>
          <w:szCs w:val="22"/>
        </w:rPr>
        <w:t>explicitně uznány jako klíčové nástroje</w:t>
      </w:r>
      <w:r w:rsidRPr="00413C59">
        <w:rPr>
          <w:rFonts w:ascii="Arial" w:hAnsi="Arial" w:cs="Arial"/>
          <w:sz w:val="22"/>
          <w:szCs w:val="22"/>
        </w:rPr>
        <w:t> pro dosažení cílů EU v oblasti:</w:t>
      </w:r>
    </w:p>
    <w:p w14:paraId="12ACE6CD" w14:textId="77777777" w:rsidR="001444AE" w:rsidRPr="00413C59" w:rsidRDefault="001444AE" w:rsidP="005E3883">
      <w:pPr>
        <w:numPr>
          <w:ilvl w:val="1"/>
          <w:numId w:val="27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klimatické neutrality</w:t>
      </w:r>
    </w:p>
    <w:p w14:paraId="0E1F0B1C" w14:textId="77777777" w:rsidR="001444AE" w:rsidRPr="00413C59" w:rsidRDefault="001444AE" w:rsidP="005E3883">
      <w:pPr>
        <w:numPr>
          <w:ilvl w:val="1"/>
          <w:numId w:val="27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digitální transformace</w:t>
      </w:r>
    </w:p>
    <w:p w14:paraId="57F9F355" w14:textId="77777777" w:rsidR="001444AE" w:rsidRPr="00413C59" w:rsidRDefault="001444AE" w:rsidP="005E3883">
      <w:pPr>
        <w:numPr>
          <w:ilvl w:val="1"/>
          <w:numId w:val="27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potravinové bezpečnosti</w:t>
      </w:r>
    </w:p>
    <w:p w14:paraId="2AF8ECA1" w14:textId="77777777" w:rsidR="001444AE" w:rsidRPr="00413C59" w:rsidRDefault="001444AE" w:rsidP="005E3883">
      <w:pPr>
        <w:numPr>
          <w:ilvl w:val="1"/>
          <w:numId w:val="27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odolnosti venkova a regionů</w:t>
      </w:r>
    </w:p>
    <w:p w14:paraId="2A9AB3C8" w14:textId="77777777" w:rsidR="001444AE" w:rsidRPr="00413C59" w:rsidRDefault="001444AE">
      <w:pPr>
        <w:numPr>
          <w:ilvl w:val="1"/>
          <w:numId w:val="27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strategické autonomie EU</w:t>
      </w:r>
    </w:p>
    <w:p w14:paraId="0BEFCA97" w14:textId="77777777" w:rsidR="001444AE" w:rsidRPr="00413C59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2. Inovace v rámci tematických cílů</w:t>
      </w:r>
    </w:p>
    <w:p w14:paraId="093BA88C" w14:textId="77777777" w:rsidR="001444AE" w:rsidRPr="00413C59" w:rsidRDefault="001444AE" w:rsidP="005E3883">
      <w:pPr>
        <w:numPr>
          <w:ilvl w:val="0"/>
          <w:numId w:val="28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Tematický cíl 1</w:t>
      </w:r>
      <w:r w:rsidRPr="00413C59">
        <w:rPr>
          <w:rFonts w:ascii="Arial" w:hAnsi="Arial" w:cs="Arial"/>
          <w:sz w:val="22"/>
          <w:szCs w:val="22"/>
        </w:rPr>
        <w:t> zahrnuje podporu </w:t>
      </w:r>
      <w:r w:rsidRPr="00413C59">
        <w:rPr>
          <w:rFonts w:ascii="Arial" w:hAnsi="Arial" w:cs="Arial"/>
          <w:b/>
          <w:bCs/>
          <w:sz w:val="22"/>
          <w:szCs w:val="22"/>
        </w:rPr>
        <w:t>inteligentní specializace</w:t>
      </w:r>
      <w:r w:rsidRPr="00413C59">
        <w:rPr>
          <w:rFonts w:ascii="Arial" w:hAnsi="Arial" w:cs="Arial"/>
          <w:sz w:val="22"/>
          <w:szCs w:val="22"/>
        </w:rPr>
        <w:t>, výzkumu a inovací, zejména v regionech s nízkou výkonností.</w:t>
      </w:r>
    </w:p>
    <w:p w14:paraId="50BDC459" w14:textId="77777777" w:rsidR="001444AE" w:rsidRPr="00413C59" w:rsidRDefault="001444AE" w:rsidP="005E3883">
      <w:pPr>
        <w:numPr>
          <w:ilvl w:val="0"/>
          <w:numId w:val="28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Zemědělská složka</w:t>
      </w:r>
      <w:r w:rsidRPr="00413C59">
        <w:rPr>
          <w:rFonts w:ascii="Arial" w:hAnsi="Arial" w:cs="Arial"/>
          <w:sz w:val="22"/>
          <w:szCs w:val="22"/>
        </w:rPr>
        <w:t> podporuje </w:t>
      </w:r>
      <w:r w:rsidRPr="00413C59">
        <w:rPr>
          <w:rFonts w:ascii="Arial" w:hAnsi="Arial" w:cs="Arial"/>
          <w:b/>
          <w:bCs/>
          <w:sz w:val="22"/>
          <w:szCs w:val="22"/>
        </w:rPr>
        <w:t>agroinovace</w:t>
      </w:r>
      <w:r w:rsidRPr="00413C59">
        <w:rPr>
          <w:rFonts w:ascii="Arial" w:hAnsi="Arial" w:cs="Arial"/>
          <w:sz w:val="22"/>
          <w:szCs w:val="22"/>
        </w:rPr>
        <w:t>, precizní zemědělství a přenos znalostí.</w:t>
      </w:r>
    </w:p>
    <w:p w14:paraId="1B225ABC" w14:textId="0026E2BB" w:rsidR="001444AE" w:rsidRPr="00413C59" w:rsidRDefault="001444AE">
      <w:pPr>
        <w:numPr>
          <w:ilvl w:val="0"/>
          <w:numId w:val="28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Rybářská složka</w:t>
      </w:r>
      <w:r w:rsidRPr="00413C59">
        <w:rPr>
          <w:rFonts w:ascii="Arial" w:hAnsi="Arial" w:cs="Arial"/>
          <w:sz w:val="22"/>
          <w:szCs w:val="22"/>
        </w:rPr>
        <w:t> zahrnuje podporu </w:t>
      </w:r>
      <w:r w:rsidRPr="00413C59">
        <w:rPr>
          <w:rFonts w:ascii="Arial" w:hAnsi="Arial" w:cs="Arial"/>
          <w:b/>
          <w:bCs/>
          <w:sz w:val="22"/>
          <w:szCs w:val="22"/>
        </w:rPr>
        <w:t>modrých inovací</w:t>
      </w:r>
      <w:r w:rsidRPr="00413C59">
        <w:rPr>
          <w:rFonts w:ascii="Arial" w:hAnsi="Arial" w:cs="Arial"/>
          <w:sz w:val="22"/>
          <w:szCs w:val="22"/>
        </w:rPr>
        <w:t> a výzkumu v oblasti oceánů a</w:t>
      </w:r>
      <w:r w:rsidR="00214DF0">
        <w:rPr>
          <w:rFonts w:ascii="Arial" w:hAnsi="Arial" w:cs="Arial"/>
          <w:sz w:val="22"/>
          <w:szCs w:val="22"/>
        </w:rPr>
        <w:t> </w:t>
      </w:r>
      <w:r w:rsidRPr="00413C59">
        <w:rPr>
          <w:rFonts w:ascii="Arial" w:hAnsi="Arial" w:cs="Arial"/>
          <w:sz w:val="22"/>
          <w:szCs w:val="22"/>
        </w:rPr>
        <w:t>akvakultury.</w:t>
      </w:r>
    </w:p>
    <w:p w14:paraId="0FFF8DF4" w14:textId="77777777" w:rsidR="001444AE" w:rsidRPr="00413C59" w:rsidRDefault="001444AE" w:rsidP="001444AE">
      <w:pPr>
        <w:pStyle w:val="Nadpis1"/>
        <w:rPr>
          <w:sz w:val="22"/>
          <w:szCs w:val="22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3.</w:t>
      </w:r>
      <w:r w:rsidRPr="00413C59">
        <w:rPr>
          <w:sz w:val="22"/>
          <w:szCs w:val="22"/>
        </w:rPr>
        <w:t xml:space="preserve"> </w:t>
      </w: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Finanční nástroje pro VaVaI</w:t>
      </w:r>
    </w:p>
    <w:p w14:paraId="59F59132" w14:textId="77777777" w:rsidR="001444AE" w:rsidRPr="00413C59" w:rsidRDefault="001444AE" w:rsidP="005E3883">
      <w:pPr>
        <w:numPr>
          <w:ilvl w:val="0"/>
          <w:numId w:val="29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NRP plány</w:t>
      </w:r>
      <w:r w:rsidRPr="00413C59">
        <w:rPr>
          <w:rFonts w:ascii="Arial" w:hAnsi="Arial" w:cs="Arial"/>
          <w:sz w:val="22"/>
          <w:szCs w:val="22"/>
        </w:rPr>
        <w:t> mohou zahrnovat opatření na podporu výzkumu a inovací, včetně:</w:t>
      </w:r>
    </w:p>
    <w:p w14:paraId="3CD016E9" w14:textId="77777777" w:rsidR="001444AE" w:rsidRPr="00413C59" w:rsidRDefault="001444AE" w:rsidP="005E3883">
      <w:pPr>
        <w:numPr>
          <w:ilvl w:val="1"/>
          <w:numId w:val="29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výzkumných infrastruktur</w:t>
      </w:r>
    </w:p>
    <w:p w14:paraId="160BCA21" w14:textId="77777777" w:rsidR="001444AE" w:rsidRPr="00413C59" w:rsidRDefault="001444AE" w:rsidP="005E3883">
      <w:pPr>
        <w:numPr>
          <w:ilvl w:val="1"/>
          <w:numId w:val="29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spolupráce mezi univerzitami a podniky</w:t>
      </w:r>
    </w:p>
    <w:p w14:paraId="5D561387" w14:textId="77777777" w:rsidR="001444AE" w:rsidRPr="00413C59" w:rsidRDefault="001444AE" w:rsidP="005E3883">
      <w:pPr>
        <w:numPr>
          <w:ilvl w:val="1"/>
          <w:numId w:val="29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testovacích a demonstračních zařízení</w:t>
      </w:r>
    </w:p>
    <w:p w14:paraId="4A37FD15" w14:textId="77777777" w:rsidR="001444AE" w:rsidRPr="00413C59" w:rsidRDefault="001444AE">
      <w:pPr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EU Facility</w:t>
      </w:r>
      <w:r w:rsidRPr="00413C59">
        <w:rPr>
          <w:rFonts w:ascii="Arial" w:hAnsi="Arial" w:cs="Arial"/>
          <w:sz w:val="22"/>
          <w:szCs w:val="22"/>
        </w:rPr>
        <w:t> může financovat </w:t>
      </w:r>
      <w:r w:rsidRPr="00413C59">
        <w:rPr>
          <w:rFonts w:ascii="Arial" w:hAnsi="Arial" w:cs="Arial"/>
          <w:b/>
          <w:bCs/>
          <w:sz w:val="22"/>
          <w:szCs w:val="22"/>
        </w:rPr>
        <w:t>strategické inovační projekty</w:t>
      </w:r>
      <w:r w:rsidRPr="00413C59">
        <w:rPr>
          <w:rFonts w:ascii="Arial" w:hAnsi="Arial" w:cs="Arial"/>
          <w:sz w:val="22"/>
          <w:szCs w:val="22"/>
        </w:rPr>
        <w:t> přeshraničního významu.</w:t>
      </w:r>
    </w:p>
    <w:p w14:paraId="60F4DCB4" w14:textId="77777777" w:rsidR="001444AE" w:rsidRPr="00413C59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4. Synergie s jinými programy EU</w:t>
      </w:r>
    </w:p>
    <w:p w14:paraId="2CC3C992" w14:textId="77777777" w:rsidR="001444AE" w:rsidRPr="00413C59" w:rsidRDefault="001444AE" w:rsidP="005E3883">
      <w:pPr>
        <w:numPr>
          <w:ilvl w:val="0"/>
          <w:numId w:val="30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Dokument zdůrazňuje </w:t>
      </w:r>
      <w:r w:rsidRPr="00413C59">
        <w:rPr>
          <w:rFonts w:ascii="Arial" w:hAnsi="Arial" w:cs="Arial"/>
          <w:b/>
          <w:bCs/>
          <w:sz w:val="22"/>
          <w:szCs w:val="22"/>
        </w:rPr>
        <w:t>komplementaritu s programem Horizon Europe</w:t>
      </w:r>
      <w:r w:rsidRPr="00413C59">
        <w:rPr>
          <w:rFonts w:ascii="Arial" w:hAnsi="Arial" w:cs="Arial"/>
          <w:sz w:val="22"/>
          <w:szCs w:val="22"/>
        </w:rPr>
        <w:t>, zejména v oblasti:</w:t>
      </w:r>
    </w:p>
    <w:p w14:paraId="6E18BA42" w14:textId="77777777" w:rsidR="001444AE" w:rsidRPr="00413C59" w:rsidRDefault="001444AE" w:rsidP="005E3883">
      <w:pPr>
        <w:numPr>
          <w:ilvl w:val="1"/>
          <w:numId w:val="30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přenosu výsledků výzkumu do praxe</w:t>
      </w:r>
    </w:p>
    <w:p w14:paraId="45AE561C" w14:textId="77777777" w:rsidR="001444AE" w:rsidRPr="00413C59" w:rsidRDefault="001444AE" w:rsidP="005E3883">
      <w:pPr>
        <w:numPr>
          <w:ilvl w:val="1"/>
          <w:numId w:val="30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regionálního rozvoje založeného na inovacích</w:t>
      </w:r>
    </w:p>
    <w:p w14:paraId="4C2A4BCF" w14:textId="77777777" w:rsidR="001444AE" w:rsidRPr="00413C59" w:rsidRDefault="001444AE">
      <w:pPr>
        <w:numPr>
          <w:ilvl w:val="0"/>
          <w:numId w:val="3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Podpora </w:t>
      </w:r>
      <w:r w:rsidRPr="00413C59">
        <w:rPr>
          <w:rFonts w:ascii="Arial" w:hAnsi="Arial" w:cs="Arial"/>
          <w:b/>
          <w:bCs/>
          <w:sz w:val="22"/>
          <w:szCs w:val="22"/>
        </w:rPr>
        <w:t>regionálních inovačních ekosystémů</w:t>
      </w:r>
      <w:r w:rsidRPr="00413C59">
        <w:rPr>
          <w:rFonts w:ascii="Arial" w:hAnsi="Arial" w:cs="Arial"/>
          <w:sz w:val="22"/>
          <w:szCs w:val="22"/>
        </w:rPr>
        <w:t> má být sladěna s evropským výzkumným prostorem (ERA).</w:t>
      </w:r>
    </w:p>
    <w:p w14:paraId="0DAB23A9" w14:textId="77777777" w:rsidR="001444AE" w:rsidRPr="00413C59" w:rsidRDefault="001444AE" w:rsidP="001444AE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13C59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5. Monitorování a indikátory</w:t>
      </w:r>
    </w:p>
    <w:p w14:paraId="7983CD9A" w14:textId="77777777" w:rsidR="001444AE" w:rsidRPr="00413C59" w:rsidRDefault="001444AE" w:rsidP="005E3883">
      <w:pPr>
        <w:numPr>
          <w:ilvl w:val="0"/>
          <w:numId w:val="31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Výkonnostní rámec zahrnuje </w:t>
      </w:r>
      <w:r w:rsidRPr="00413C59">
        <w:rPr>
          <w:rFonts w:ascii="Arial" w:hAnsi="Arial" w:cs="Arial"/>
          <w:b/>
          <w:bCs/>
          <w:sz w:val="22"/>
          <w:szCs w:val="22"/>
        </w:rPr>
        <w:t>indikátory pro výzkum a inovace</w:t>
      </w:r>
      <w:r w:rsidRPr="00413C59">
        <w:rPr>
          <w:rFonts w:ascii="Arial" w:hAnsi="Arial" w:cs="Arial"/>
          <w:sz w:val="22"/>
          <w:szCs w:val="22"/>
        </w:rPr>
        <w:t>, např.:</w:t>
      </w:r>
    </w:p>
    <w:p w14:paraId="50738A86" w14:textId="77777777" w:rsidR="001444AE" w:rsidRPr="00413C59" w:rsidRDefault="001444AE" w:rsidP="005E3883">
      <w:pPr>
        <w:numPr>
          <w:ilvl w:val="1"/>
          <w:numId w:val="31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počet nových výzkumných projektů</w:t>
      </w:r>
    </w:p>
    <w:p w14:paraId="7B962100" w14:textId="77777777" w:rsidR="001444AE" w:rsidRPr="00413C59" w:rsidRDefault="001444AE" w:rsidP="005E3883">
      <w:pPr>
        <w:numPr>
          <w:ilvl w:val="1"/>
          <w:numId w:val="31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investice do výzkumné infrastruktury</w:t>
      </w:r>
    </w:p>
    <w:p w14:paraId="497CF389" w14:textId="77777777" w:rsidR="001444AE" w:rsidRPr="005E3883" w:rsidRDefault="001444AE">
      <w:pPr>
        <w:numPr>
          <w:ilvl w:val="1"/>
          <w:numId w:val="31"/>
        </w:numPr>
        <w:spacing w:after="160" w:line="259" w:lineRule="auto"/>
        <w:jc w:val="both"/>
        <w:rPr>
          <w:rFonts w:ascii="Arial" w:hAnsi="Arial" w:cs="Arial"/>
          <w:bCs/>
          <w:sz w:val="22"/>
          <w:szCs w:val="22"/>
        </w:rPr>
      </w:pPr>
      <w:r w:rsidRPr="005E3883">
        <w:rPr>
          <w:rFonts w:ascii="Arial" w:hAnsi="Arial" w:cs="Arial"/>
          <w:bCs/>
          <w:sz w:val="22"/>
          <w:szCs w:val="22"/>
        </w:rPr>
        <w:t>počet podniků zapojených do inovačních aktivit</w:t>
      </w:r>
    </w:p>
    <w:p w14:paraId="655FD9A5" w14:textId="77777777" w:rsidR="00413C59" w:rsidRPr="00413C59" w:rsidRDefault="00413C59" w:rsidP="00413C59">
      <w:pPr>
        <w:rPr>
          <w:rFonts w:ascii="Arial" w:hAnsi="Arial" w:cs="Arial"/>
          <w:b/>
          <w:color w:val="0070C0"/>
          <w:sz w:val="22"/>
          <w:szCs w:val="22"/>
        </w:rPr>
      </w:pPr>
      <w:r w:rsidRPr="00413C59">
        <w:rPr>
          <w:rFonts w:ascii="Arial" w:hAnsi="Arial" w:cs="Arial"/>
          <w:b/>
          <w:color w:val="0070C0"/>
          <w:sz w:val="22"/>
          <w:szCs w:val="22"/>
        </w:rPr>
        <w:lastRenderedPageBreak/>
        <w:t>NRP PLÁN (NATIONAL AND REGIONAL PARTNERSHIP PLAN)</w:t>
      </w:r>
    </w:p>
    <w:p w14:paraId="292D700D" w14:textId="77777777" w:rsidR="00413C59" w:rsidRPr="00413C59" w:rsidRDefault="00413C59" w:rsidP="00413C59">
      <w:pPr>
        <w:pStyle w:val="Nadpis1"/>
        <w:rPr>
          <w:sz w:val="22"/>
          <w:szCs w:val="22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1.</w:t>
      </w:r>
      <w:r w:rsidRPr="00413C59">
        <w:rPr>
          <w:sz w:val="22"/>
          <w:szCs w:val="22"/>
        </w:rPr>
        <w:t xml:space="preserve"> </w:t>
      </w: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Co je NRP plán?</w:t>
      </w:r>
    </w:p>
    <w:p w14:paraId="4F3065C8" w14:textId="77777777" w:rsidR="00413C59" w:rsidRPr="00413C59" w:rsidRDefault="00413C59" w:rsidP="00413C59">
      <w:pPr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NRP plán je </w:t>
      </w:r>
      <w:r w:rsidRPr="00413C59">
        <w:rPr>
          <w:rFonts w:ascii="Arial" w:hAnsi="Arial" w:cs="Arial"/>
          <w:b/>
          <w:bCs/>
          <w:sz w:val="22"/>
          <w:szCs w:val="22"/>
        </w:rPr>
        <w:t>strategický dokument</w:t>
      </w:r>
      <w:r w:rsidRPr="00413C59">
        <w:rPr>
          <w:rFonts w:ascii="Arial" w:hAnsi="Arial" w:cs="Arial"/>
          <w:sz w:val="22"/>
          <w:szCs w:val="22"/>
        </w:rPr>
        <w:t>, který každý členský stát EU předkládá Evropské komisi. Slouží jako </w:t>
      </w:r>
      <w:r w:rsidRPr="00413C59">
        <w:rPr>
          <w:rFonts w:ascii="Arial" w:hAnsi="Arial" w:cs="Arial"/>
          <w:b/>
          <w:bCs/>
          <w:sz w:val="22"/>
          <w:szCs w:val="22"/>
        </w:rPr>
        <w:t>hlavní rámec pro čerpání prostředků</w:t>
      </w:r>
      <w:r w:rsidRPr="00413C59">
        <w:rPr>
          <w:rFonts w:ascii="Arial" w:hAnsi="Arial" w:cs="Arial"/>
          <w:sz w:val="22"/>
          <w:szCs w:val="22"/>
        </w:rPr>
        <w:t> z nového sjednoceného fondu EU, který zahrnuje oblasti jako:</w:t>
      </w:r>
    </w:p>
    <w:p w14:paraId="0EBD994E" w14:textId="77777777" w:rsidR="00413C59" w:rsidRPr="00413C59" w:rsidRDefault="00413C59" w:rsidP="005E3883">
      <w:pPr>
        <w:numPr>
          <w:ilvl w:val="0"/>
          <w:numId w:val="32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hospodářská, sociální a územní soudržnost,</w:t>
      </w:r>
    </w:p>
    <w:p w14:paraId="1AAEEB2D" w14:textId="77777777" w:rsidR="00413C59" w:rsidRPr="00413C59" w:rsidRDefault="00413C59" w:rsidP="005E3883">
      <w:pPr>
        <w:numPr>
          <w:ilvl w:val="0"/>
          <w:numId w:val="32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zemědělství a rozvoj venkova,</w:t>
      </w:r>
    </w:p>
    <w:p w14:paraId="4380ECC6" w14:textId="77777777" w:rsidR="00413C59" w:rsidRPr="00413C59" w:rsidRDefault="00413C59" w:rsidP="005E3883">
      <w:pPr>
        <w:numPr>
          <w:ilvl w:val="0"/>
          <w:numId w:val="32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rybolov a námořní záležitosti,</w:t>
      </w:r>
    </w:p>
    <w:p w14:paraId="44083016" w14:textId="77777777" w:rsidR="00413C59" w:rsidRPr="00413C59" w:rsidRDefault="00413C59">
      <w:pPr>
        <w:numPr>
          <w:ilvl w:val="0"/>
          <w:numId w:val="3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bezpečnost, migrace a obrana.</w:t>
      </w:r>
    </w:p>
    <w:p w14:paraId="092992C3" w14:textId="77777777" w:rsidR="00413C59" w:rsidRPr="00413C59" w:rsidRDefault="00413C59" w:rsidP="00413C59">
      <w:pPr>
        <w:pStyle w:val="Nadpis1"/>
        <w:rPr>
          <w:sz w:val="22"/>
          <w:szCs w:val="22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2. Obsah NRP plánu</w:t>
      </w:r>
    </w:p>
    <w:p w14:paraId="1AF0035B" w14:textId="77777777" w:rsidR="00413C59" w:rsidRPr="00413C59" w:rsidRDefault="00413C59" w:rsidP="00413C59">
      <w:pPr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NRP plán musí obsahovat:</w:t>
      </w:r>
    </w:p>
    <w:p w14:paraId="04BD7C99" w14:textId="77777777" w:rsidR="00413C59" w:rsidRPr="00413C59" w:rsidRDefault="00413C59" w:rsidP="005E3883">
      <w:pPr>
        <w:numPr>
          <w:ilvl w:val="0"/>
          <w:numId w:val="33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reformy, investice a intervence</w:t>
      </w:r>
      <w:r w:rsidRPr="00413C59">
        <w:rPr>
          <w:rFonts w:ascii="Arial" w:hAnsi="Arial" w:cs="Arial"/>
          <w:sz w:val="22"/>
          <w:szCs w:val="22"/>
        </w:rPr>
        <w:t> odpovídající cílům fondu,</w:t>
      </w:r>
    </w:p>
    <w:p w14:paraId="7461B872" w14:textId="77777777" w:rsidR="00413C59" w:rsidRPr="00413C59" w:rsidRDefault="00413C59" w:rsidP="005E3883">
      <w:pPr>
        <w:numPr>
          <w:ilvl w:val="0"/>
          <w:numId w:val="33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milníky a cíle</w:t>
      </w:r>
      <w:r w:rsidRPr="00413C59">
        <w:rPr>
          <w:rFonts w:ascii="Arial" w:hAnsi="Arial" w:cs="Arial"/>
          <w:sz w:val="22"/>
          <w:szCs w:val="22"/>
        </w:rPr>
        <w:t>, jejichž splnění je podmínkou pro financování,</w:t>
      </w:r>
    </w:p>
    <w:p w14:paraId="63EDD676" w14:textId="77777777" w:rsidR="00413C59" w:rsidRPr="00413C59" w:rsidRDefault="00413C59" w:rsidP="005E3883">
      <w:pPr>
        <w:numPr>
          <w:ilvl w:val="0"/>
          <w:numId w:val="33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regionální a tematické kapitoly</w:t>
      </w:r>
      <w:r w:rsidRPr="00413C59">
        <w:rPr>
          <w:rFonts w:ascii="Arial" w:hAnsi="Arial" w:cs="Arial"/>
          <w:sz w:val="22"/>
          <w:szCs w:val="22"/>
        </w:rPr>
        <w:t> (např. pro méně rozvinuté oblasti),</w:t>
      </w:r>
    </w:p>
    <w:p w14:paraId="3649602F" w14:textId="77777777" w:rsidR="00413C59" w:rsidRPr="00413C59" w:rsidRDefault="00413C59" w:rsidP="005E3883">
      <w:pPr>
        <w:numPr>
          <w:ilvl w:val="0"/>
          <w:numId w:val="33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odůvodnění souladu s evropskými prioritami</w:t>
      </w:r>
      <w:r w:rsidRPr="00413C59">
        <w:rPr>
          <w:rFonts w:ascii="Arial" w:hAnsi="Arial" w:cs="Arial"/>
          <w:sz w:val="22"/>
          <w:szCs w:val="22"/>
        </w:rPr>
        <w:t> (např. klimatické cíle, digitální transformace),</w:t>
      </w:r>
    </w:p>
    <w:p w14:paraId="37FBB375" w14:textId="77777777" w:rsidR="00413C59" w:rsidRPr="00413C59" w:rsidRDefault="00413C59" w:rsidP="005E3883">
      <w:pPr>
        <w:numPr>
          <w:ilvl w:val="0"/>
          <w:numId w:val="33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monitorovací a řídicí struktury</w:t>
      </w:r>
      <w:r w:rsidRPr="00413C59">
        <w:rPr>
          <w:rFonts w:ascii="Arial" w:hAnsi="Arial" w:cs="Arial"/>
          <w:sz w:val="22"/>
          <w:szCs w:val="22"/>
        </w:rPr>
        <w:t> (včetně výborů a koordinátorů),</w:t>
      </w:r>
    </w:p>
    <w:p w14:paraId="4E2054D0" w14:textId="77777777" w:rsidR="00413C59" w:rsidRPr="00413C59" w:rsidRDefault="00413C59">
      <w:pPr>
        <w:numPr>
          <w:ilvl w:val="0"/>
          <w:numId w:val="33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národní spolufinancování</w:t>
      </w:r>
      <w:r w:rsidRPr="00413C59">
        <w:rPr>
          <w:rFonts w:ascii="Arial" w:hAnsi="Arial" w:cs="Arial"/>
          <w:sz w:val="22"/>
          <w:szCs w:val="22"/>
        </w:rPr>
        <w:t> podle ekonomické úrovně regionů.</w:t>
      </w:r>
    </w:p>
    <w:p w14:paraId="49628A13" w14:textId="77777777" w:rsidR="00413C59" w:rsidRPr="00413C59" w:rsidRDefault="00413C59" w:rsidP="00413C59">
      <w:pPr>
        <w:pStyle w:val="Nadpis1"/>
        <w:rPr>
          <w:sz w:val="22"/>
          <w:szCs w:val="22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3. Harmonogram</w:t>
      </w:r>
    </w:p>
    <w:p w14:paraId="6457E4ED" w14:textId="77777777" w:rsidR="00413C59" w:rsidRPr="00413C59" w:rsidRDefault="00413C59" w:rsidP="005E3883">
      <w:pPr>
        <w:numPr>
          <w:ilvl w:val="0"/>
          <w:numId w:val="34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Termín podání</w:t>
      </w:r>
      <w:r w:rsidRPr="00413C59">
        <w:rPr>
          <w:rFonts w:ascii="Arial" w:hAnsi="Arial" w:cs="Arial"/>
          <w:sz w:val="22"/>
          <w:szCs w:val="22"/>
        </w:rPr>
        <w:t>: do 31. ledna 2028.</w:t>
      </w:r>
    </w:p>
    <w:p w14:paraId="1AF632C3" w14:textId="77777777" w:rsidR="00413C59" w:rsidRPr="00413C59" w:rsidRDefault="00413C59" w:rsidP="005E3883">
      <w:pPr>
        <w:numPr>
          <w:ilvl w:val="0"/>
          <w:numId w:val="34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Možnost revize</w:t>
      </w:r>
      <w:r w:rsidRPr="00413C59">
        <w:rPr>
          <w:rFonts w:ascii="Arial" w:hAnsi="Arial" w:cs="Arial"/>
          <w:sz w:val="22"/>
          <w:szCs w:val="22"/>
        </w:rPr>
        <w:t>: v polovině období (do 31. března 2031) nebo v případě krizí.</w:t>
      </w:r>
    </w:p>
    <w:p w14:paraId="7206346F" w14:textId="77777777" w:rsidR="00413C59" w:rsidRPr="00413C59" w:rsidRDefault="00413C59">
      <w:pPr>
        <w:numPr>
          <w:ilvl w:val="0"/>
          <w:numId w:val="3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Schvalování</w:t>
      </w:r>
      <w:r w:rsidRPr="00413C59">
        <w:rPr>
          <w:rFonts w:ascii="Arial" w:hAnsi="Arial" w:cs="Arial"/>
          <w:sz w:val="22"/>
          <w:szCs w:val="22"/>
        </w:rPr>
        <w:t>: na základě hodnocení Komise a rozhodnutí Rady EU.</w:t>
      </w:r>
    </w:p>
    <w:p w14:paraId="73167F1B" w14:textId="77777777" w:rsidR="00413C59" w:rsidRPr="0037505A" w:rsidRDefault="00413C59" w:rsidP="00413C59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4. Struktura financování NRP plánů</w:t>
      </w:r>
    </w:p>
    <w:p w14:paraId="41172785" w14:textId="77777777" w:rsidR="00413C59" w:rsidRPr="00413C59" w:rsidRDefault="00413C59" w:rsidP="00413C59">
      <w:pPr>
        <w:rPr>
          <w:rFonts w:ascii="Arial" w:hAnsi="Arial" w:cs="Arial"/>
          <w:b/>
          <w:bCs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Celkový objem: 782,9 miliardy EUR</w:t>
      </w:r>
    </w:p>
    <w:p w14:paraId="3053E4C5" w14:textId="77777777" w:rsidR="00413C59" w:rsidRPr="00413C59" w:rsidRDefault="00413C59" w:rsidP="00413C59">
      <w:pPr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Tato částka je určena pro 27 národních a regionálních plánů partnerství, které budou pokrývat:</w:t>
      </w:r>
    </w:p>
    <w:p w14:paraId="1D7C3009" w14:textId="77777777" w:rsidR="00413C59" w:rsidRPr="00413C59" w:rsidRDefault="00413C59" w:rsidP="005E3883">
      <w:pPr>
        <w:numPr>
          <w:ilvl w:val="0"/>
          <w:numId w:val="35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Kohezní politiku</w:t>
      </w:r>
      <w:r w:rsidRPr="00413C59">
        <w:rPr>
          <w:rFonts w:ascii="Arial" w:hAnsi="Arial" w:cs="Arial"/>
          <w:sz w:val="22"/>
          <w:szCs w:val="22"/>
        </w:rPr>
        <w:t> (EFRR, ESF+, Fond soudržnosti)</w:t>
      </w:r>
    </w:p>
    <w:p w14:paraId="404B9446" w14:textId="77777777" w:rsidR="00413C59" w:rsidRPr="00413C59" w:rsidRDefault="00413C59" w:rsidP="005E3883">
      <w:pPr>
        <w:numPr>
          <w:ilvl w:val="0"/>
          <w:numId w:val="35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Společnou zemědělskou politiku</w:t>
      </w:r>
      <w:r w:rsidRPr="00413C59">
        <w:rPr>
          <w:rFonts w:ascii="Arial" w:hAnsi="Arial" w:cs="Arial"/>
          <w:sz w:val="22"/>
          <w:szCs w:val="22"/>
        </w:rPr>
        <w:t> (EZZF, EZFRV)</w:t>
      </w:r>
    </w:p>
    <w:p w14:paraId="2E841474" w14:textId="77777777" w:rsidR="00413C59" w:rsidRPr="00413C59" w:rsidRDefault="00413C59" w:rsidP="005E3883">
      <w:pPr>
        <w:numPr>
          <w:ilvl w:val="0"/>
          <w:numId w:val="35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Rybářskou politiku</w:t>
      </w:r>
      <w:r w:rsidRPr="00413C59">
        <w:rPr>
          <w:rFonts w:ascii="Arial" w:hAnsi="Arial" w:cs="Arial"/>
          <w:sz w:val="22"/>
          <w:szCs w:val="22"/>
        </w:rPr>
        <w:t> (EMFAF)</w:t>
      </w:r>
    </w:p>
    <w:p w14:paraId="1C116382" w14:textId="77777777" w:rsidR="00413C59" w:rsidRPr="00413C59" w:rsidRDefault="00413C59" w:rsidP="005E3883">
      <w:pPr>
        <w:numPr>
          <w:ilvl w:val="0"/>
          <w:numId w:val="35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Azylový, migrační a bezpečnostní fond</w:t>
      </w:r>
    </w:p>
    <w:p w14:paraId="622342FF" w14:textId="77777777" w:rsidR="00413C59" w:rsidRPr="00413C59" w:rsidRDefault="00413C59" w:rsidP="005E3883">
      <w:pPr>
        <w:numPr>
          <w:ilvl w:val="0"/>
          <w:numId w:val="35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Fond pro spravedlivou transformaci</w:t>
      </w:r>
    </w:p>
    <w:p w14:paraId="7DCE297E" w14:textId="77777777" w:rsidR="00413C59" w:rsidRPr="00413C59" w:rsidRDefault="00413C59">
      <w:pPr>
        <w:numPr>
          <w:ilvl w:val="0"/>
          <w:numId w:val="35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Sociální klimatický fond</w:t>
      </w:r>
    </w:p>
    <w:p w14:paraId="691AC673" w14:textId="77777777" w:rsidR="00413C59" w:rsidRPr="0037505A" w:rsidRDefault="00413C59" w:rsidP="00413C59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5. Zdroje financování</w:t>
      </w:r>
    </w:p>
    <w:tbl>
      <w:tblPr>
        <w:tblW w:w="0" w:type="auto"/>
        <w:tblCellSpacing w:w="15" w:type="dxa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2795"/>
        <w:gridCol w:w="2717"/>
      </w:tblGrid>
      <w:tr w:rsidR="00413C59" w:rsidRPr="00413C59" w14:paraId="5319734A" w14:textId="77777777" w:rsidTr="00E75948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33C1766" w14:textId="77777777" w:rsidR="00413C59" w:rsidRPr="00413C59" w:rsidRDefault="00413C59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Fond / nástroj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35A73ED" w14:textId="77777777" w:rsidR="00413C59" w:rsidRPr="00413C59" w:rsidRDefault="00413C59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Přibližná alokace (v mld. EUR)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01E3D10" w14:textId="77777777" w:rsidR="00413C59" w:rsidRPr="00413C59" w:rsidRDefault="00413C59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Poznámka</w:t>
            </w:r>
          </w:p>
        </w:tc>
      </w:tr>
      <w:tr w:rsidR="00413C59" w:rsidRPr="00413C59" w14:paraId="7211B6A3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268CE0E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EFRR + ESF+ + FS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9B59F57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7AEA58C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Kohezní složka</w:t>
            </w:r>
          </w:p>
        </w:tc>
      </w:tr>
      <w:tr w:rsidR="00413C59" w:rsidRPr="00413C59" w14:paraId="793F0B8E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C986FB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EZFRV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F01C977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29AD736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Rozvoj venkova</w:t>
            </w:r>
          </w:p>
        </w:tc>
      </w:tr>
      <w:tr w:rsidR="00413C59" w:rsidRPr="00413C59" w14:paraId="48F35FA6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2AB37BB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EZZF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D85BF3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F04DF33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Přímé platby a tržní opatření</w:t>
            </w:r>
          </w:p>
        </w:tc>
      </w:tr>
      <w:tr w:rsidR="00413C59" w:rsidRPr="00413C59" w14:paraId="2C332A65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BA93F04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EMFAF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6E362E1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C553731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Rybářství a modrá ekonomika</w:t>
            </w:r>
          </w:p>
        </w:tc>
      </w:tr>
      <w:tr w:rsidR="00413C59" w:rsidRPr="00413C59" w14:paraId="4CB87F85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1EE2521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lastRenderedPageBreak/>
              <w:t>AMIF, ISF, BMVI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81344EB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647D4B8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Migrace, azyl, bezpečnost</w:t>
            </w:r>
          </w:p>
        </w:tc>
      </w:tr>
      <w:tr w:rsidR="00413C59" w:rsidRPr="00413C59" w14:paraId="6E0549A1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D00E1A3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SCF (Sociální klimatický fond)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5DD1FA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F132F2B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Přesunuto do NRP</w:t>
            </w:r>
          </w:p>
        </w:tc>
      </w:tr>
      <w:tr w:rsidR="00413C59" w:rsidRPr="00413C59" w14:paraId="02CE0675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5BE68A7E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FTJ (Fond pro spravedlivou transformaci)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365BD7EB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7C772B88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Regiony závislé na uhlí</w:t>
            </w:r>
          </w:p>
        </w:tc>
      </w:tr>
    </w:tbl>
    <w:p w14:paraId="34DA6855" w14:textId="77777777" w:rsidR="00413C59" w:rsidRPr="00413C59" w:rsidRDefault="00413C59" w:rsidP="00413C59">
      <w:pPr>
        <w:rPr>
          <w:rFonts w:ascii="Arial" w:hAnsi="Arial" w:cs="Arial"/>
          <w:sz w:val="22"/>
          <w:szCs w:val="22"/>
        </w:rPr>
      </w:pPr>
    </w:p>
    <w:p w14:paraId="39E156B4" w14:textId="77777777" w:rsidR="00413C59" w:rsidRPr="0037505A" w:rsidRDefault="00413C59" w:rsidP="00413C59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6. Výkonnostní rámec a platby</w:t>
      </w:r>
    </w:p>
    <w:p w14:paraId="14C80F5C" w14:textId="77777777" w:rsidR="00413C59" w:rsidRPr="00413C59" w:rsidRDefault="00413C59" w:rsidP="00413C59">
      <w:pPr>
        <w:rPr>
          <w:rFonts w:ascii="Arial" w:hAnsi="Arial" w:cs="Arial"/>
          <w:b/>
          <w:bCs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Milníky a cíle</w:t>
      </w:r>
    </w:p>
    <w:p w14:paraId="5A01F956" w14:textId="77777777" w:rsidR="00413C59" w:rsidRPr="00413C59" w:rsidRDefault="00413C59" w:rsidP="005E3883">
      <w:pPr>
        <w:numPr>
          <w:ilvl w:val="0"/>
          <w:numId w:val="36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Každý NRP plán bude obsahovat </w:t>
      </w:r>
      <w:r w:rsidRPr="00413C59">
        <w:rPr>
          <w:rFonts w:ascii="Arial" w:hAnsi="Arial" w:cs="Arial"/>
          <w:b/>
          <w:bCs/>
          <w:sz w:val="22"/>
          <w:szCs w:val="22"/>
        </w:rPr>
        <w:t>kvantifikované milníky a cíle</w:t>
      </w:r>
      <w:r w:rsidRPr="00413C59">
        <w:rPr>
          <w:rFonts w:ascii="Arial" w:hAnsi="Arial" w:cs="Arial"/>
          <w:sz w:val="22"/>
          <w:szCs w:val="22"/>
        </w:rPr>
        <w:t>.</w:t>
      </w:r>
    </w:p>
    <w:p w14:paraId="18C74BEF" w14:textId="77777777" w:rsidR="00413C59" w:rsidRPr="00413C59" w:rsidRDefault="00413C59">
      <w:pPr>
        <w:numPr>
          <w:ilvl w:val="0"/>
          <w:numId w:val="36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Platby budou probíhat </w:t>
      </w:r>
      <w:r w:rsidRPr="00413C59">
        <w:rPr>
          <w:rFonts w:ascii="Arial" w:hAnsi="Arial" w:cs="Arial"/>
          <w:b/>
          <w:bCs/>
          <w:sz w:val="22"/>
          <w:szCs w:val="22"/>
        </w:rPr>
        <w:t>na základě dosažení těchto milníků</w:t>
      </w:r>
      <w:r w:rsidRPr="00413C59">
        <w:rPr>
          <w:rFonts w:ascii="Arial" w:hAnsi="Arial" w:cs="Arial"/>
          <w:sz w:val="22"/>
          <w:szCs w:val="22"/>
        </w:rPr>
        <w:t> – podobně jako v NGEU.</w:t>
      </w:r>
    </w:p>
    <w:p w14:paraId="30B8D4AF" w14:textId="77777777" w:rsidR="00413C59" w:rsidRPr="00413C59" w:rsidRDefault="00413C59" w:rsidP="00413C59">
      <w:pPr>
        <w:rPr>
          <w:rFonts w:ascii="Arial" w:hAnsi="Arial" w:cs="Arial"/>
          <w:b/>
          <w:bCs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Roční žádosti o platbu</w:t>
      </w:r>
    </w:p>
    <w:p w14:paraId="3DC414A4" w14:textId="77777777" w:rsidR="00413C59" w:rsidRPr="00413C59" w:rsidRDefault="00413C59" w:rsidP="005E3883">
      <w:pPr>
        <w:numPr>
          <w:ilvl w:val="0"/>
          <w:numId w:val="37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Členské státy budou podávat </w:t>
      </w:r>
      <w:r w:rsidRPr="00413C59">
        <w:rPr>
          <w:rFonts w:ascii="Arial" w:hAnsi="Arial" w:cs="Arial"/>
          <w:b/>
          <w:bCs/>
          <w:sz w:val="22"/>
          <w:szCs w:val="22"/>
        </w:rPr>
        <w:t>jednu žádost ročně</w:t>
      </w:r>
      <w:r w:rsidRPr="00413C59">
        <w:rPr>
          <w:rFonts w:ascii="Arial" w:hAnsi="Arial" w:cs="Arial"/>
          <w:sz w:val="22"/>
          <w:szCs w:val="22"/>
        </w:rPr>
        <w:t>, která bude zahrnovat:</w:t>
      </w:r>
    </w:p>
    <w:p w14:paraId="2658B3F7" w14:textId="77777777" w:rsidR="00413C59" w:rsidRPr="00413C59" w:rsidRDefault="00413C59" w:rsidP="005E3883">
      <w:pPr>
        <w:numPr>
          <w:ilvl w:val="1"/>
          <w:numId w:val="37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přehled dosažených milníků</w:t>
      </w:r>
    </w:p>
    <w:p w14:paraId="33FCE326" w14:textId="77777777" w:rsidR="00413C59" w:rsidRPr="00413C59" w:rsidRDefault="00413C59" w:rsidP="005E3883">
      <w:pPr>
        <w:numPr>
          <w:ilvl w:val="1"/>
          <w:numId w:val="37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žádost o platbu</w:t>
      </w:r>
    </w:p>
    <w:p w14:paraId="07A2E92C" w14:textId="77777777" w:rsidR="00413C59" w:rsidRPr="00413C59" w:rsidRDefault="00413C59">
      <w:pPr>
        <w:numPr>
          <w:ilvl w:val="1"/>
          <w:numId w:val="37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prohlášení o řízení a auditu</w:t>
      </w:r>
    </w:p>
    <w:p w14:paraId="0FD7F196" w14:textId="77777777" w:rsidR="00413C59" w:rsidRPr="00413C59" w:rsidRDefault="00413C59" w:rsidP="00413C59">
      <w:pPr>
        <w:rPr>
          <w:rFonts w:ascii="Arial" w:hAnsi="Arial" w:cs="Arial"/>
          <w:b/>
          <w:bCs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Pozastavení a korekce</w:t>
      </w:r>
    </w:p>
    <w:p w14:paraId="6A5BCE99" w14:textId="77777777" w:rsidR="00413C59" w:rsidRPr="00413C59" w:rsidRDefault="00413C59" w:rsidP="005E3883">
      <w:pPr>
        <w:numPr>
          <w:ilvl w:val="0"/>
          <w:numId w:val="38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Komise může </w:t>
      </w:r>
      <w:r w:rsidRPr="00413C59">
        <w:rPr>
          <w:rFonts w:ascii="Arial" w:hAnsi="Arial" w:cs="Arial"/>
          <w:b/>
          <w:bCs/>
          <w:sz w:val="22"/>
          <w:szCs w:val="22"/>
        </w:rPr>
        <w:t>pozastavit platby</w:t>
      </w:r>
      <w:r w:rsidRPr="00413C59">
        <w:rPr>
          <w:rFonts w:ascii="Arial" w:hAnsi="Arial" w:cs="Arial"/>
          <w:sz w:val="22"/>
          <w:szCs w:val="22"/>
        </w:rPr>
        <w:t>, pokud:</w:t>
      </w:r>
    </w:p>
    <w:p w14:paraId="5F11ABE1" w14:textId="77777777" w:rsidR="00413C59" w:rsidRPr="00413C59" w:rsidRDefault="00413C59" w:rsidP="005E3883">
      <w:pPr>
        <w:numPr>
          <w:ilvl w:val="1"/>
          <w:numId w:val="38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nejsou splněny milníky</w:t>
      </w:r>
    </w:p>
    <w:p w14:paraId="43FBD0F2" w14:textId="77777777" w:rsidR="00413C59" w:rsidRPr="00413C59" w:rsidRDefault="00413C59" w:rsidP="005E3883">
      <w:pPr>
        <w:numPr>
          <w:ilvl w:val="1"/>
          <w:numId w:val="38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došlo k reverzi cílů</w:t>
      </w:r>
    </w:p>
    <w:p w14:paraId="2E8BB792" w14:textId="77777777" w:rsidR="00413C59" w:rsidRPr="00413C59" w:rsidRDefault="00413C59">
      <w:pPr>
        <w:numPr>
          <w:ilvl w:val="1"/>
          <w:numId w:val="38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existuje podezření na porušení práva EU</w:t>
      </w:r>
    </w:p>
    <w:p w14:paraId="410E25D8" w14:textId="77777777" w:rsidR="00413C59" w:rsidRPr="0037505A" w:rsidRDefault="00413C59" w:rsidP="00413C59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7.  Flexibilita a přenositelnost prostředků</w:t>
      </w:r>
    </w:p>
    <w:p w14:paraId="56CEA616" w14:textId="77777777" w:rsidR="00413C59" w:rsidRPr="00413C59" w:rsidRDefault="00413C59" w:rsidP="005E3883">
      <w:pPr>
        <w:numPr>
          <w:ilvl w:val="0"/>
          <w:numId w:val="39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Členské státy mohou </w:t>
      </w:r>
      <w:r w:rsidRPr="00413C59">
        <w:rPr>
          <w:rFonts w:ascii="Arial" w:hAnsi="Arial" w:cs="Arial"/>
          <w:b/>
          <w:bCs/>
          <w:sz w:val="22"/>
          <w:szCs w:val="22"/>
        </w:rPr>
        <w:t>přesouvat prostředky mezi fondy</w:t>
      </w:r>
      <w:r w:rsidRPr="00413C59">
        <w:rPr>
          <w:rFonts w:ascii="Arial" w:hAnsi="Arial" w:cs="Arial"/>
          <w:sz w:val="22"/>
          <w:szCs w:val="22"/>
        </w:rPr>
        <w:t> v rámci NRP plánu (např. z EZFRV do ESF+).</w:t>
      </w:r>
    </w:p>
    <w:p w14:paraId="50C672EE" w14:textId="77777777" w:rsidR="00413C59" w:rsidRPr="00413C59" w:rsidRDefault="00413C59" w:rsidP="005E3883">
      <w:pPr>
        <w:numPr>
          <w:ilvl w:val="0"/>
          <w:numId w:val="39"/>
        </w:numPr>
        <w:spacing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sz w:val="22"/>
          <w:szCs w:val="22"/>
        </w:rPr>
        <w:t>Možnost </w:t>
      </w:r>
      <w:r w:rsidRPr="00413C59">
        <w:rPr>
          <w:rFonts w:ascii="Arial" w:hAnsi="Arial" w:cs="Arial"/>
          <w:b/>
          <w:bCs/>
          <w:sz w:val="22"/>
          <w:szCs w:val="22"/>
        </w:rPr>
        <w:t>přesunout až 10 %</w:t>
      </w:r>
      <w:r w:rsidRPr="00413C59">
        <w:rPr>
          <w:rFonts w:ascii="Arial" w:hAnsi="Arial" w:cs="Arial"/>
          <w:sz w:val="22"/>
          <w:szCs w:val="22"/>
        </w:rPr>
        <w:t> alokace mezi tematickými cíli bez revize plánu.</w:t>
      </w:r>
    </w:p>
    <w:p w14:paraId="6834059A" w14:textId="77777777" w:rsidR="00413C59" w:rsidRPr="00413C59" w:rsidRDefault="00413C59">
      <w:pPr>
        <w:numPr>
          <w:ilvl w:val="0"/>
          <w:numId w:val="39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13C59">
        <w:rPr>
          <w:rFonts w:ascii="Arial" w:hAnsi="Arial" w:cs="Arial"/>
          <w:b/>
          <w:bCs/>
          <w:sz w:val="22"/>
          <w:szCs w:val="22"/>
        </w:rPr>
        <w:t>Krizová flexibilita</w:t>
      </w:r>
      <w:r w:rsidRPr="00413C59">
        <w:rPr>
          <w:rFonts w:ascii="Arial" w:hAnsi="Arial" w:cs="Arial"/>
          <w:sz w:val="22"/>
          <w:szCs w:val="22"/>
        </w:rPr>
        <w:t>: v případě mimořádné události lze plán </w:t>
      </w:r>
      <w:r w:rsidRPr="00413C59">
        <w:rPr>
          <w:rFonts w:ascii="Arial" w:hAnsi="Arial" w:cs="Arial"/>
          <w:b/>
          <w:bCs/>
          <w:sz w:val="22"/>
          <w:szCs w:val="22"/>
        </w:rPr>
        <w:t>rychle upravit</w:t>
      </w:r>
      <w:r w:rsidRPr="00413C59">
        <w:rPr>
          <w:rFonts w:ascii="Arial" w:hAnsi="Arial" w:cs="Arial"/>
          <w:sz w:val="22"/>
          <w:szCs w:val="22"/>
        </w:rPr>
        <w:t>.</w:t>
      </w:r>
    </w:p>
    <w:p w14:paraId="2EC7C96D" w14:textId="77777777" w:rsidR="00413C59" w:rsidRPr="0037505A" w:rsidRDefault="00413C59" w:rsidP="00413C59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8. Shrnutí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1"/>
        <w:gridCol w:w="3087"/>
      </w:tblGrid>
      <w:tr w:rsidR="00413C59" w:rsidRPr="00413C59" w14:paraId="4D207A51" w14:textId="77777777" w:rsidTr="00E75948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1872454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Prvek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8897A29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Charakteristika</w:t>
            </w:r>
          </w:p>
        </w:tc>
      </w:tr>
      <w:tr w:rsidR="00413C59" w:rsidRPr="00413C59" w14:paraId="74D463BC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2016657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Financování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AC00D8B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Výkonnostní, vícezdrojové</w:t>
            </w:r>
          </w:p>
        </w:tc>
      </w:tr>
      <w:tr w:rsidR="00413C59" w:rsidRPr="00413C59" w14:paraId="24A7264A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3032620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Platby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ADA52CB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Na základě milníků a cílů</w:t>
            </w:r>
          </w:p>
        </w:tc>
      </w:tr>
      <w:tr w:rsidR="00413C59" w:rsidRPr="00413C59" w14:paraId="361F7AC0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B74B821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lastRenderedPageBreak/>
              <w:t>Flexibilita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7C89C43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Přesuny mezi fondy a cíli</w:t>
            </w:r>
          </w:p>
        </w:tc>
      </w:tr>
      <w:tr w:rsidR="00413C59" w:rsidRPr="00413C59" w14:paraId="5C176295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0B4EB5E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Kontrola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7B66A42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Jednotný auditní rámec</w:t>
            </w:r>
          </w:p>
        </w:tc>
      </w:tr>
      <w:tr w:rsidR="00413C59" w:rsidRPr="00413C59" w14:paraId="2C1120C4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082DCA98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Krizová reakce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5FC1E23D" w14:textId="77777777" w:rsidR="00413C59" w:rsidRPr="00413C59" w:rsidRDefault="00413C59" w:rsidP="00E75948">
            <w:pPr>
              <w:spacing w:before="240" w:after="360"/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Možnost rychlé revize plánu</w:t>
            </w:r>
          </w:p>
        </w:tc>
      </w:tr>
    </w:tbl>
    <w:p w14:paraId="2822DA8B" w14:textId="77777777" w:rsidR="00413C59" w:rsidRPr="00413C59" w:rsidRDefault="00413C59" w:rsidP="00413C59">
      <w:pPr>
        <w:rPr>
          <w:rFonts w:ascii="Arial" w:hAnsi="Arial" w:cs="Arial"/>
          <w:sz w:val="22"/>
          <w:szCs w:val="22"/>
        </w:rPr>
      </w:pPr>
    </w:p>
    <w:p w14:paraId="5C26CA14" w14:textId="77777777" w:rsidR="00413C59" w:rsidRPr="0037505A" w:rsidRDefault="00413C59" w:rsidP="00413C59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37505A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Zkratky:</w:t>
      </w:r>
    </w:p>
    <w:tbl>
      <w:tblPr>
        <w:tblW w:w="0" w:type="auto"/>
        <w:tblCellSpacing w:w="15" w:type="dxa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2234"/>
        <w:gridCol w:w="2112"/>
        <w:gridCol w:w="3552"/>
      </w:tblGrid>
      <w:tr w:rsidR="00413C59" w:rsidRPr="00413C59" w14:paraId="0BE9446A" w14:textId="77777777" w:rsidTr="00E75948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7235B53" w14:textId="77777777" w:rsidR="00413C59" w:rsidRPr="00413C59" w:rsidRDefault="00413C59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Zkratka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27354E0" w14:textId="77777777" w:rsidR="00413C59" w:rsidRPr="00413C59" w:rsidRDefault="00413C59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Plný název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D8BC110" w14:textId="77777777" w:rsidR="00413C59" w:rsidRPr="00413C59" w:rsidRDefault="00413C59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Česky</w:t>
            </w:r>
          </w:p>
        </w:tc>
        <w:tc>
          <w:tcPr>
            <w:tcW w:w="0" w:type="auto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57A3253" w14:textId="77777777" w:rsidR="00413C59" w:rsidRPr="00413C59" w:rsidRDefault="00413C59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Účel</w:t>
            </w:r>
          </w:p>
        </w:tc>
      </w:tr>
      <w:tr w:rsidR="00413C59" w:rsidRPr="00413C59" w14:paraId="14A70092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EF25B1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EFRR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29C7CBD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European Regional Development Fund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869FECE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Evropský fond pro regionální rozvoj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560FBC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Podpora investic do infrastruktury, inovací, podnikání a regionální konkurenceschopnosti</w:t>
            </w:r>
          </w:p>
        </w:tc>
      </w:tr>
      <w:tr w:rsidR="00413C59" w:rsidRPr="00413C59" w14:paraId="5F926D65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5CD9244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ESF+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A71218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European Social Fund Plus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11F33CC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Evropský sociální fond plus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512DC19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Podpora zaměstnanosti, vzdělávání, sociálního začleňování a dovedností</w:t>
            </w:r>
          </w:p>
        </w:tc>
      </w:tr>
      <w:tr w:rsidR="00413C59" w:rsidRPr="00413C59" w14:paraId="20633DE9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F7B9785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FS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370809E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Cohesion Fund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E02E2D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Fond soudržnosti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FC47FB0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Financování velkých infrastrukturních projektů v méně rozvinutých zemích EU</w:t>
            </w:r>
          </w:p>
        </w:tc>
      </w:tr>
      <w:tr w:rsidR="00413C59" w:rsidRPr="00413C59" w14:paraId="63294FC8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A4AC540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EZFRV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17DE52B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European Agricultural Fund for Rural Development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5CD6FF3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Evropský zemědělský fond pro rozvoj venkova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54C8224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Podpora venkovských oblastí, ekologického zemědělství, inovací a diverzifikace</w:t>
            </w:r>
          </w:p>
        </w:tc>
      </w:tr>
      <w:tr w:rsidR="00413C59" w:rsidRPr="00413C59" w14:paraId="36F9FEEE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2E6880B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EZZF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0FDE66A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European Agricultural Guarantee Fund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77D30DF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Evropský zemědělský záruční fond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8C8B5FA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Financování přímých plateb zemědělcům a tržních opatření v rámci SZP</w:t>
            </w:r>
          </w:p>
        </w:tc>
      </w:tr>
      <w:tr w:rsidR="00413C59" w:rsidRPr="00413C59" w14:paraId="1DD713DB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FB5B266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EMFAF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889C6E6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European Maritime, Fisheries and Aquaculture Fund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8A04937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Evropský námořní, rybářský a akvakulturní fond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825666D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Podpora udržitelného rybolovu, akvakultury a modré ekonomiky</w:t>
            </w:r>
          </w:p>
        </w:tc>
      </w:tr>
      <w:tr w:rsidR="00413C59" w:rsidRPr="00413C59" w14:paraId="4B2B089E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F216B2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AMIF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017E87F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Asylum, Migration and Integration Fund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03F0E40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Fond pro azyl, migraci a integraci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E129D58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Podpora azylové politiky, legální migrace a integrace cizinců</w:t>
            </w:r>
          </w:p>
        </w:tc>
      </w:tr>
      <w:tr w:rsidR="00413C59" w:rsidRPr="00413C59" w14:paraId="776AD75D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CF67275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ISF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2591E346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Internal Security Fund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8C8B611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Fond pro vnitřní bezpečnost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6FD888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Posílení bezpečnosti, ochrany hranic a boje proti kriminalitě</w:t>
            </w:r>
          </w:p>
        </w:tc>
      </w:tr>
      <w:tr w:rsidR="00413C59" w:rsidRPr="00413C59" w14:paraId="755CF495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8D4F99A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BMVI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D787BA8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Border Management and Visa Instrument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122CDFC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Nástroj pro správu hranic a vízovou politiku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E90D58A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Financování ochrany vnějších hranic EU a vízové politiky</w:t>
            </w:r>
          </w:p>
        </w:tc>
      </w:tr>
      <w:tr w:rsidR="00413C59" w:rsidRPr="00413C59" w14:paraId="2AEB523A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A1FF616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SCF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7306A8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Social Climate Fund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772BFC3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Sociální klimatický fond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833811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Kompenzace sociálních dopadů klimatických opatření (např. ETS2)</w:t>
            </w:r>
          </w:p>
        </w:tc>
      </w:tr>
      <w:tr w:rsidR="00413C59" w:rsidRPr="00413C59" w14:paraId="582EFDB7" w14:textId="77777777" w:rsidTr="00E75948">
        <w:trPr>
          <w:tblCellSpacing w:w="15" w:type="dxa"/>
        </w:trPr>
        <w:tc>
          <w:tcPr>
            <w:tcW w:w="0" w:type="auto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20BE47E0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b/>
                <w:bCs/>
                <w:sz w:val="22"/>
                <w:szCs w:val="22"/>
              </w:rPr>
              <w:t>FTJ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3ED816D2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Just Transition Fund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02F043D8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Fond pro spravedlivou transformaci</w:t>
            </w:r>
          </w:p>
        </w:tc>
        <w:tc>
          <w:tcPr>
            <w:tcW w:w="0" w:type="auto"/>
            <w:tcBorders>
              <w:bottom w:val="single" w:sz="6" w:space="0" w:color="E6E6E6"/>
              <w:right w:val="single" w:sz="6" w:space="0" w:color="E6E6E6"/>
            </w:tcBorders>
            <w:shd w:val="clear" w:color="auto" w:fill="FAFAFA"/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566768DE" w14:textId="77777777" w:rsidR="00413C59" w:rsidRPr="00413C59" w:rsidRDefault="00413C59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13C59">
              <w:rPr>
                <w:rFonts w:ascii="Arial" w:hAnsi="Arial" w:cs="Arial"/>
                <w:sz w:val="22"/>
                <w:szCs w:val="22"/>
              </w:rPr>
              <w:t>Podpora regionů závislých na uhlí a průmyslu při přechodu na zelenou ekonomiku</w:t>
            </w:r>
          </w:p>
        </w:tc>
      </w:tr>
    </w:tbl>
    <w:p w14:paraId="1DC849FF" w14:textId="77777777" w:rsidR="00413C59" w:rsidRPr="00413C59" w:rsidRDefault="00413C59" w:rsidP="00413C59">
      <w:pPr>
        <w:rPr>
          <w:rFonts w:ascii="Arial" w:hAnsi="Arial" w:cs="Arial"/>
          <w:sz w:val="22"/>
          <w:szCs w:val="22"/>
        </w:rPr>
      </w:pPr>
    </w:p>
    <w:p w14:paraId="4C84ABF8" w14:textId="77777777" w:rsidR="00973D8F" w:rsidRDefault="00973D8F" w:rsidP="00D03B11">
      <w:pPr>
        <w:spacing w:after="120" w:line="312" w:lineRule="auto"/>
        <w:jc w:val="both"/>
        <w:rPr>
          <w:rFonts w:ascii="Arial" w:hAnsi="Arial" w:cs="Arial"/>
          <w:bCs/>
          <w:color w:val="0070C0"/>
          <w:sz w:val="22"/>
          <w:szCs w:val="22"/>
        </w:rPr>
      </w:pPr>
    </w:p>
    <w:p w14:paraId="752B8D9D" w14:textId="77777777" w:rsidR="0084548C" w:rsidRDefault="0084548C">
      <w:pPr>
        <w:spacing w:after="200" w:line="276" w:lineRule="auto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14:paraId="223E6DEF" w14:textId="3DE78023" w:rsidR="0037505A" w:rsidRPr="0037505A" w:rsidRDefault="0037505A" w:rsidP="0037505A">
      <w:pPr>
        <w:spacing w:after="120" w:line="312" w:lineRule="auto"/>
        <w:jc w:val="center"/>
        <w:rPr>
          <w:rFonts w:ascii="Arial" w:hAnsi="Arial" w:cs="Arial"/>
          <w:b/>
          <w:color w:val="0070C0"/>
        </w:rPr>
      </w:pPr>
      <w:r w:rsidRPr="0037505A">
        <w:rPr>
          <w:rFonts w:ascii="Arial" w:hAnsi="Arial" w:cs="Arial"/>
          <w:b/>
          <w:color w:val="0070C0"/>
        </w:rPr>
        <w:lastRenderedPageBreak/>
        <w:t>Návrh nařízení COM(2025) 552, kterým se zřizuje Evropský fond pro regionální rozvoj (EFRR) a Fond soudržnosti (FS) pro období 2028–2034</w:t>
      </w:r>
    </w:p>
    <w:p w14:paraId="1F7C7642" w14:textId="77777777" w:rsidR="0037505A" w:rsidRPr="0037505A" w:rsidRDefault="0037505A" w:rsidP="0037505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7505A">
        <w:rPr>
          <w:rFonts w:ascii="Arial" w:hAnsi="Arial" w:cs="Arial"/>
          <w:bCs/>
          <w:color w:val="0070C0"/>
          <w:sz w:val="22"/>
          <w:szCs w:val="22"/>
        </w:rPr>
        <w:t>1.</w:t>
      </w:r>
      <w:r w:rsidRPr="003750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37505A">
        <w:rPr>
          <w:rFonts w:ascii="Arial" w:hAnsi="Arial" w:cs="Arial"/>
          <w:bCs/>
          <w:color w:val="0070C0"/>
          <w:sz w:val="22"/>
          <w:szCs w:val="22"/>
        </w:rPr>
        <w:t>Financování z více zdrojů</w:t>
      </w:r>
    </w:p>
    <w:p w14:paraId="04D1965A" w14:textId="77777777" w:rsidR="0037505A" w:rsidRPr="0037505A" w:rsidRDefault="0037505A" w:rsidP="0084548C">
      <w:pPr>
        <w:numPr>
          <w:ilvl w:val="0"/>
          <w:numId w:val="40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Evropský fond pro regionální rozvoj (EFRR) a Fond soudržnosti (FS) budou financovány v rámci </w:t>
      </w:r>
      <w:r w:rsidRPr="0037505A">
        <w:rPr>
          <w:rFonts w:ascii="Arial" w:hAnsi="Arial" w:cs="Arial"/>
          <w:b/>
          <w:bCs/>
          <w:sz w:val="22"/>
          <w:szCs w:val="22"/>
        </w:rPr>
        <w:t>Národního a regionálního partnerského fondu (NRP)</w:t>
      </w:r>
      <w:r w:rsidRPr="0037505A">
        <w:rPr>
          <w:rFonts w:ascii="Arial" w:hAnsi="Arial" w:cs="Arial"/>
          <w:sz w:val="22"/>
          <w:szCs w:val="22"/>
        </w:rPr>
        <w:t>.</w:t>
      </w:r>
    </w:p>
    <w:p w14:paraId="424BFEF4" w14:textId="24B37FFE" w:rsidR="0037505A" w:rsidRPr="00E049BB" w:rsidRDefault="0037505A">
      <w:pPr>
        <w:numPr>
          <w:ilvl w:val="0"/>
          <w:numId w:val="4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Financování bude probíhat formou </w:t>
      </w:r>
      <w:r w:rsidRPr="0037505A">
        <w:rPr>
          <w:rFonts w:ascii="Arial" w:hAnsi="Arial" w:cs="Arial"/>
          <w:b/>
          <w:bCs/>
          <w:sz w:val="22"/>
          <w:szCs w:val="22"/>
        </w:rPr>
        <w:t>sdíleného řízení</w:t>
      </w:r>
      <w:r w:rsidRPr="0037505A">
        <w:rPr>
          <w:rFonts w:ascii="Arial" w:hAnsi="Arial" w:cs="Arial"/>
          <w:sz w:val="22"/>
          <w:szCs w:val="22"/>
        </w:rPr>
        <w:t> mezi Evropskou komisí a</w:t>
      </w:r>
      <w:r w:rsidR="00E049BB">
        <w:rPr>
          <w:rFonts w:ascii="Arial" w:hAnsi="Arial" w:cs="Arial"/>
          <w:sz w:val="22"/>
          <w:szCs w:val="22"/>
        </w:rPr>
        <w:t> </w:t>
      </w:r>
      <w:r w:rsidRPr="0037505A">
        <w:rPr>
          <w:rFonts w:ascii="Arial" w:hAnsi="Arial" w:cs="Arial"/>
          <w:sz w:val="22"/>
          <w:szCs w:val="22"/>
        </w:rPr>
        <w:t>členskými státy, případně </w:t>
      </w:r>
      <w:r w:rsidRPr="0037505A">
        <w:rPr>
          <w:rFonts w:ascii="Arial" w:hAnsi="Arial" w:cs="Arial"/>
          <w:b/>
          <w:bCs/>
          <w:sz w:val="22"/>
          <w:szCs w:val="22"/>
        </w:rPr>
        <w:t>přímého nebo nepřímého řízení</w:t>
      </w:r>
      <w:r w:rsidRPr="0037505A">
        <w:rPr>
          <w:rFonts w:ascii="Arial" w:hAnsi="Arial" w:cs="Arial"/>
          <w:sz w:val="22"/>
          <w:szCs w:val="22"/>
        </w:rPr>
        <w:t> Komisí (zejména u</w:t>
      </w:r>
      <w:r w:rsidR="00E049BB">
        <w:rPr>
          <w:rFonts w:ascii="Arial" w:hAnsi="Arial" w:cs="Arial"/>
          <w:sz w:val="22"/>
          <w:szCs w:val="22"/>
        </w:rPr>
        <w:t> </w:t>
      </w:r>
      <w:r w:rsidRPr="0037505A">
        <w:rPr>
          <w:rFonts w:ascii="Arial" w:hAnsi="Arial" w:cs="Arial"/>
          <w:sz w:val="22"/>
          <w:szCs w:val="22"/>
        </w:rPr>
        <w:t>Interregu).</w:t>
      </w:r>
    </w:p>
    <w:p w14:paraId="7880AFE1" w14:textId="77777777" w:rsidR="0037505A" w:rsidRPr="0037505A" w:rsidRDefault="0037505A" w:rsidP="0037505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7505A">
        <w:rPr>
          <w:rFonts w:ascii="Arial" w:hAnsi="Arial" w:cs="Arial"/>
          <w:bCs/>
          <w:color w:val="0070C0"/>
          <w:sz w:val="22"/>
          <w:szCs w:val="22"/>
        </w:rPr>
        <w:t>2.</w:t>
      </w:r>
      <w:r w:rsidRPr="003750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37505A">
        <w:rPr>
          <w:rFonts w:ascii="Arial" w:hAnsi="Arial" w:cs="Arial"/>
          <w:bCs/>
          <w:color w:val="0070C0"/>
          <w:sz w:val="22"/>
          <w:szCs w:val="22"/>
        </w:rPr>
        <w:t>Rozpočtové alokace a plánování</w:t>
      </w:r>
    </w:p>
    <w:p w14:paraId="7BE83163" w14:textId="77777777" w:rsidR="0037505A" w:rsidRPr="0037505A" w:rsidRDefault="0037505A" w:rsidP="0084548C">
      <w:pPr>
        <w:numPr>
          <w:ilvl w:val="0"/>
          <w:numId w:val="41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Každý členský stát bude mít přidělený podíl z celkové alokace Interregu, který bude rozdělen podle metodiky uvedené v příloze nařízení NRP.</w:t>
      </w:r>
    </w:p>
    <w:p w14:paraId="59950432" w14:textId="372E3BCC" w:rsidR="0037505A" w:rsidRPr="00E049BB" w:rsidRDefault="0037505A">
      <w:pPr>
        <w:numPr>
          <w:ilvl w:val="0"/>
          <w:numId w:val="41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724957">
        <w:rPr>
          <w:rFonts w:ascii="Arial" w:hAnsi="Arial" w:cs="Arial"/>
          <w:sz w:val="22"/>
          <w:szCs w:val="22"/>
        </w:rPr>
        <w:t>Roční příspěvky</w:t>
      </w:r>
      <w:r w:rsidRPr="0037505A">
        <w:rPr>
          <w:rFonts w:ascii="Arial" w:hAnsi="Arial" w:cs="Arial"/>
          <w:sz w:val="22"/>
          <w:szCs w:val="22"/>
        </w:rPr>
        <w:t> z NRP budou přidělovány jednotlivým kapitolám Interregu a mohou být přealokovány, pokud kapitola nebude včas předložena nebo schválena.</w:t>
      </w:r>
    </w:p>
    <w:p w14:paraId="44CED8D1" w14:textId="77777777" w:rsidR="0037505A" w:rsidRPr="0037505A" w:rsidRDefault="0037505A" w:rsidP="0037505A">
      <w:pPr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37505A">
        <w:rPr>
          <w:rFonts w:ascii="Arial" w:hAnsi="Arial" w:cs="Arial"/>
          <w:bCs/>
          <w:color w:val="0070C0"/>
          <w:sz w:val="22"/>
          <w:szCs w:val="22"/>
        </w:rPr>
        <w:t>3. Předběžné financování a právní závazky</w:t>
      </w:r>
    </w:p>
    <w:p w14:paraId="4E609DEB" w14:textId="77777777" w:rsidR="0037505A" w:rsidRPr="0037505A" w:rsidRDefault="0037505A" w:rsidP="0084548C">
      <w:pPr>
        <w:numPr>
          <w:ilvl w:val="0"/>
          <w:numId w:val="42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Komise stanoví výši </w:t>
      </w:r>
      <w:r w:rsidRPr="0037505A">
        <w:rPr>
          <w:rFonts w:ascii="Arial" w:hAnsi="Arial" w:cs="Arial"/>
          <w:b/>
          <w:bCs/>
          <w:sz w:val="22"/>
          <w:szCs w:val="22"/>
        </w:rPr>
        <w:t>předběžného financování</w:t>
      </w:r>
      <w:r w:rsidRPr="0037505A">
        <w:rPr>
          <w:rFonts w:ascii="Arial" w:hAnsi="Arial" w:cs="Arial"/>
          <w:sz w:val="22"/>
          <w:szCs w:val="22"/>
        </w:rPr>
        <w:t> (pre-financing) a rozhodne, zda bude vyplaceno jednorázově nebo ve splátkách.</w:t>
      </w:r>
    </w:p>
    <w:p w14:paraId="2264924B" w14:textId="21C4714C" w:rsidR="0037505A" w:rsidRPr="00E049BB" w:rsidRDefault="0037505A">
      <w:pPr>
        <w:numPr>
          <w:ilvl w:val="0"/>
          <w:numId w:val="4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Schválení kapitoly Interregu představuje </w:t>
      </w:r>
      <w:r w:rsidRPr="0037505A">
        <w:rPr>
          <w:rFonts w:ascii="Arial" w:hAnsi="Arial" w:cs="Arial"/>
          <w:b/>
          <w:bCs/>
          <w:sz w:val="22"/>
          <w:szCs w:val="22"/>
        </w:rPr>
        <w:t>právní závazek</w:t>
      </w:r>
      <w:r w:rsidRPr="0037505A">
        <w:rPr>
          <w:rFonts w:ascii="Arial" w:hAnsi="Arial" w:cs="Arial"/>
          <w:sz w:val="22"/>
          <w:szCs w:val="22"/>
        </w:rPr>
        <w:t> a </w:t>
      </w:r>
      <w:r w:rsidRPr="0037505A">
        <w:rPr>
          <w:rFonts w:ascii="Arial" w:hAnsi="Arial" w:cs="Arial"/>
          <w:b/>
          <w:bCs/>
          <w:sz w:val="22"/>
          <w:szCs w:val="22"/>
        </w:rPr>
        <w:t>finanční rozhodnutí</w:t>
      </w:r>
      <w:r w:rsidRPr="0037505A">
        <w:rPr>
          <w:rFonts w:ascii="Arial" w:hAnsi="Arial" w:cs="Arial"/>
          <w:sz w:val="22"/>
          <w:szCs w:val="22"/>
        </w:rPr>
        <w:t> ve</w:t>
      </w:r>
      <w:r w:rsidR="00E049BB">
        <w:rPr>
          <w:rFonts w:ascii="Arial" w:hAnsi="Arial" w:cs="Arial"/>
          <w:sz w:val="22"/>
          <w:szCs w:val="22"/>
        </w:rPr>
        <w:t> </w:t>
      </w:r>
      <w:r w:rsidRPr="0037505A">
        <w:rPr>
          <w:rFonts w:ascii="Arial" w:hAnsi="Arial" w:cs="Arial"/>
          <w:sz w:val="22"/>
          <w:szCs w:val="22"/>
        </w:rPr>
        <w:t>smyslu rozpočtových pravidel EU.</w:t>
      </w:r>
    </w:p>
    <w:p w14:paraId="074D1EB1" w14:textId="77777777" w:rsidR="0037505A" w:rsidRPr="0037505A" w:rsidRDefault="0037505A" w:rsidP="0037505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7505A">
        <w:rPr>
          <w:rFonts w:ascii="Arial" w:hAnsi="Arial" w:cs="Arial"/>
          <w:bCs/>
          <w:color w:val="0070C0"/>
          <w:sz w:val="22"/>
          <w:szCs w:val="22"/>
        </w:rPr>
        <w:t>4. Spolufinancování a národní příspěvky</w:t>
      </w:r>
    </w:p>
    <w:p w14:paraId="349F1ECE" w14:textId="62DF5F54" w:rsidR="0037505A" w:rsidRPr="0037505A" w:rsidRDefault="0037505A" w:rsidP="0084548C">
      <w:pPr>
        <w:numPr>
          <w:ilvl w:val="0"/>
          <w:numId w:val="43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Každá kapitola Interregu musí mít </w:t>
      </w:r>
      <w:r w:rsidRPr="0037505A">
        <w:rPr>
          <w:rFonts w:ascii="Arial" w:hAnsi="Arial" w:cs="Arial"/>
          <w:b/>
          <w:bCs/>
          <w:sz w:val="22"/>
          <w:szCs w:val="22"/>
        </w:rPr>
        <w:t>národní spolufinancování</w:t>
      </w:r>
      <w:r w:rsidRPr="0037505A">
        <w:rPr>
          <w:rFonts w:ascii="Arial" w:hAnsi="Arial" w:cs="Arial"/>
          <w:sz w:val="22"/>
          <w:szCs w:val="22"/>
        </w:rPr>
        <w:t>, které spolu s</w:t>
      </w:r>
      <w:r w:rsidR="00E049BB">
        <w:rPr>
          <w:rFonts w:ascii="Arial" w:hAnsi="Arial" w:cs="Arial"/>
          <w:sz w:val="22"/>
          <w:szCs w:val="22"/>
        </w:rPr>
        <w:t> </w:t>
      </w:r>
      <w:r w:rsidRPr="0037505A">
        <w:rPr>
          <w:rFonts w:ascii="Arial" w:hAnsi="Arial" w:cs="Arial"/>
          <w:sz w:val="22"/>
          <w:szCs w:val="22"/>
        </w:rPr>
        <w:t>příspěvkem EU nesmí překročit celkové plánované náklady.</w:t>
      </w:r>
    </w:p>
    <w:p w14:paraId="20200A8B" w14:textId="6DC64C36" w:rsidR="0037505A" w:rsidRPr="00E049BB" w:rsidRDefault="0037505A">
      <w:pPr>
        <w:numPr>
          <w:ilvl w:val="0"/>
          <w:numId w:val="43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V případě účasti třetích zemí (např. v rámci Global Europe) je nutné uzavřít </w:t>
      </w:r>
      <w:r w:rsidRPr="0037505A">
        <w:rPr>
          <w:rFonts w:ascii="Arial" w:hAnsi="Arial" w:cs="Arial"/>
          <w:b/>
          <w:bCs/>
          <w:sz w:val="22"/>
          <w:szCs w:val="22"/>
        </w:rPr>
        <w:t>finanční dohodu</w:t>
      </w:r>
      <w:r w:rsidRPr="0037505A">
        <w:rPr>
          <w:rFonts w:ascii="Arial" w:hAnsi="Arial" w:cs="Arial"/>
          <w:sz w:val="22"/>
          <w:szCs w:val="22"/>
        </w:rPr>
        <w:t> mezi Komisí a danou zemí.</w:t>
      </w:r>
    </w:p>
    <w:p w14:paraId="08413FDB" w14:textId="77777777" w:rsidR="0037505A" w:rsidRPr="00E049BB" w:rsidRDefault="0037505A" w:rsidP="0037505A">
      <w:pPr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E049BB">
        <w:rPr>
          <w:rFonts w:ascii="Arial" w:hAnsi="Arial" w:cs="Arial"/>
          <w:bCs/>
          <w:color w:val="0070C0"/>
          <w:sz w:val="22"/>
          <w:szCs w:val="22"/>
        </w:rPr>
        <w:t>5. Návrat prostředků a přerušení programů</w:t>
      </w:r>
    </w:p>
    <w:p w14:paraId="4A3B615E" w14:textId="77777777" w:rsidR="0037505A" w:rsidRPr="0037505A" w:rsidRDefault="0037505A" w:rsidP="0084548C">
      <w:pPr>
        <w:numPr>
          <w:ilvl w:val="0"/>
          <w:numId w:val="44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Pokud kapitola Interregu nebude předložena do určitého data (např. do 31. 3. 2029), prostředky budou </w:t>
      </w:r>
      <w:r w:rsidRPr="0037505A">
        <w:rPr>
          <w:rFonts w:ascii="Arial" w:hAnsi="Arial" w:cs="Arial"/>
          <w:b/>
          <w:bCs/>
          <w:sz w:val="22"/>
          <w:szCs w:val="22"/>
        </w:rPr>
        <w:t>přealokovány</w:t>
      </w:r>
      <w:r w:rsidRPr="0037505A">
        <w:rPr>
          <w:rFonts w:ascii="Arial" w:hAnsi="Arial" w:cs="Arial"/>
          <w:sz w:val="22"/>
          <w:szCs w:val="22"/>
        </w:rPr>
        <w:t> jinam.</w:t>
      </w:r>
    </w:p>
    <w:p w14:paraId="6F8410AB" w14:textId="6A2DF4A3" w:rsidR="0037505A" w:rsidRPr="00E049BB" w:rsidRDefault="0037505A">
      <w:pPr>
        <w:numPr>
          <w:ilvl w:val="0"/>
          <w:numId w:val="44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Pokud program nelze realizovat kvůli problémům mezi zúčastněnými zeměmi, může být </w:t>
      </w:r>
      <w:r w:rsidRPr="0037505A">
        <w:rPr>
          <w:rFonts w:ascii="Arial" w:hAnsi="Arial" w:cs="Arial"/>
          <w:b/>
          <w:bCs/>
          <w:sz w:val="22"/>
          <w:szCs w:val="22"/>
        </w:rPr>
        <w:t>zrušen</w:t>
      </w:r>
      <w:r w:rsidRPr="0037505A">
        <w:rPr>
          <w:rFonts w:ascii="Arial" w:hAnsi="Arial" w:cs="Arial"/>
          <w:sz w:val="22"/>
          <w:szCs w:val="22"/>
        </w:rPr>
        <w:t> a prostředky přesměrovány.</w:t>
      </w:r>
    </w:p>
    <w:p w14:paraId="388069BB" w14:textId="77777777" w:rsidR="0037505A" w:rsidRPr="0037505A" w:rsidRDefault="0037505A" w:rsidP="0037505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049BB">
        <w:rPr>
          <w:rFonts w:ascii="Arial" w:hAnsi="Arial" w:cs="Arial"/>
          <w:bCs/>
          <w:color w:val="0070C0"/>
          <w:sz w:val="22"/>
          <w:szCs w:val="22"/>
        </w:rPr>
        <w:t>6.</w:t>
      </w:r>
      <w:r w:rsidRPr="003750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E049BB">
        <w:rPr>
          <w:rFonts w:ascii="Arial" w:hAnsi="Arial" w:cs="Arial"/>
          <w:bCs/>
          <w:color w:val="0070C0"/>
          <w:sz w:val="22"/>
          <w:szCs w:val="22"/>
        </w:rPr>
        <w:t>Speciální režimy – PEACE PLUS</w:t>
      </w:r>
    </w:p>
    <w:p w14:paraId="3164FD48" w14:textId="77777777" w:rsidR="0037505A" w:rsidRPr="0037505A" w:rsidRDefault="0037505A" w:rsidP="0084548C">
      <w:pPr>
        <w:numPr>
          <w:ilvl w:val="0"/>
          <w:numId w:val="45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Program PEACE PLUS mezi Irskem a Severním Irskem bude financován z EFRR a </w:t>
      </w:r>
      <w:r w:rsidRPr="0037505A">
        <w:rPr>
          <w:rFonts w:ascii="Arial" w:hAnsi="Arial" w:cs="Arial"/>
          <w:b/>
          <w:bCs/>
          <w:sz w:val="22"/>
          <w:szCs w:val="22"/>
        </w:rPr>
        <w:t>příspěvku Spojeného království</w:t>
      </w:r>
      <w:r w:rsidRPr="0037505A">
        <w:rPr>
          <w:rFonts w:ascii="Arial" w:hAnsi="Arial" w:cs="Arial"/>
          <w:sz w:val="22"/>
          <w:szCs w:val="22"/>
        </w:rPr>
        <w:t>, který bude veden jako </w:t>
      </w:r>
      <w:r w:rsidRPr="0037505A">
        <w:rPr>
          <w:rFonts w:ascii="Arial" w:hAnsi="Arial" w:cs="Arial"/>
          <w:b/>
          <w:bCs/>
          <w:sz w:val="22"/>
          <w:szCs w:val="22"/>
        </w:rPr>
        <w:t>externí přiřazený příjem</w:t>
      </w:r>
      <w:r w:rsidRPr="0037505A">
        <w:rPr>
          <w:rFonts w:ascii="Arial" w:hAnsi="Arial" w:cs="Arial"/>
          <w:sz w:val="22"/>
          <w:szCs w:val="22"/>
        </w:rPr>
        <w:t>.</w:t>
      </w:r>
    </w:p>
    <w:p w14:paraId="0CE41D46" w14:textId="14A48348" w:rsidR="0037505A" w:rsidRPr="00E049BB" w:rsidRDefault="0037505A">
      <w:pPr>
        <w:numPr>
          <w:ilvl w:val="0"/>
          <w:numId w:val="4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Tento příspěvek bude součástí rozpočtové hlavičky „Interreg Plan“.</w:t>
      </w:r>
    </w:p>
    <w:p w14:paraId="2643AF31" w14:textId="77777777" w:rsidR="0037505A" w:rsidRPr="00E049BB" w:rsidRDefault="0037505A" w:rsidP="0037505A">
      <w:pPr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E049BB">
        <w:rPr>
          <w:rFonts w:ascii="Arial" w:hAnsi="Arial" w:cs="Arial"/>
          <w:bCs/>
          <w:color w:val="0070C0"/>
          <w:sz w:val="22"/>
          <w:szCs w:val="22"/>
        </w:rPr>
        <w:t>7. Pravidla pro zadávání veřejných zakázek</w:t>
      </w:r>
    </w:p>
    <w:p w14:paraId="0404A5AB" w14:textId="726F0A7F" w:rsidR="0037505A" w:rsidRPr="00E049BB" w:rsidRDefault="0037505A">
      <w:pPr>
        <w:numPr>
          <w:ilvl w:val="0"/>
          <w:numId w:val="46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Veřejné zakázky v nečlenských státech mohou být prováděny buď podle jejich národních pravidel (pokud to dohoda umožňuje), nebo podle rozpočtových pravidel EU.</w:t>
      </w:r>
    </w:p>
    <w:p w14:paraId="41545023" w14:textId="77777777" w:rsidR="0037505A" w:rsidRPr="00E049BB" w:rsidRDefault="0037505A" w:rsidP="0037505A">
      <w:pPr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E049BB">
        <w:rPr>
          <w:rFonts w:ascii="Arial" w:hAnsi="Arial" w:cs="Arial"/>
          <w:bCs/>
          <w:color w:val="0070C0"/>
          <w:sz w:val="22"/>
          <w:szCs w:val="22"/>
        </w:rPr>
        <w:t>8. Monitorování a výkonnostní rámec</w:t>
      </w:r>
    </w:p>
    <w:p w14:paraId="5A931F56" w14:textId="254D4DE7" w:rsidR="0037505A" w:rsidRPr="0037505A" w:rsidRDefault="0037505A" w:rsidP="0084548C">
      <w:pPr>
        <w:numPr>
          <w:ilvl w:val="0"/>
          <w:numId w:val="47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Financování bude sledováno prostřednictvím </w:t>
      </w:r>
      <w:r w:rsidRPr="0037505A">
        <w:rPr>
          <w:rFonts w:ascii="Arial" w:hAnsi="Arial" w:cs="Arial"/>
          <w:b/>
          <w:bCs/>
          <w:sz w:val="22"/>
          <w:szCs w:val="22"/>
        </w:rPr>
        <w:t>výkonnostního rámce</w:t>
      </w:r>
      <w:r w:rsidRPr="0037505A">
        <w:rPr>
          <w:rFonts w:ascii="Arial" w:hAnsi="Arial" w:cs="Arial"/>
          <w:sz w:val="22"/>
          <w:szCs w:val="22"/>
        </w:rPr>
        <w:t> stanoveného v</w:t>
      </w:r>
      <w:r w:rsidR="00E049BB">
        <w:rPr>
          <w:rFonts w:ascii="Arial" w:hAnsi="Arial" w:cs="Arial"/>
          <w:sz w:val="22"/>
          <w:szCs w:val="22"/>
        </w:rPr>
        <w:t> </w:t>
      </w:r>
      <w:r w:rsidRPr="0037505A">
        <w:rPr>
          <w:rFonts w:ascii="Arial" w:hAnsi="Arial" w:cs="Arial"/>
          <w:sz w:val="22"/>
          <w:szCs w:val="22"/>
        </w:rPr>
        <w:t>NRP, včetně milníků, cílů a ukazatelů.</w:t>
      </w:r>
    </w:p>
    <w:p w14:paraId="5926112A" w14:textId="77777777" w:rsidR="0037505A" w:rsidRPr="0037505A" w:rsidRDefault="0037505A">
      <w:pPr>
        <w:numPr>
          <w:ilvl w:val="0"/>
          <w:numId w:val="47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37505A">
        <w:rPr>
          <w:rFonts w:ascii="Arial" w:hAnsi="Arial" w:cs="Arial"/>
          <w:sz w:val="22"/>
          <w:szCs w:val="22"/>
        </w:rPr>
        <w:t>Každá kapitola Interregu musí obsahovat </w:t>
      </w:r>
      <w:r w:rsidRPr="0037505A">
        <w:rPr>
          <w:rFonts w:ascii="Arial" w:hAnsi="Arial" w:cs="Arial"/>
          <w:b/>
          <w:bCs/>
          <w:sz w:val="22"/>
          <w:szCs w:val="22"/>
        </w:rPr>
        <w:t>odhad nákladů</w:t>
      </w:r>
      <w:r w:rsidRPr="0037505A">
        <w:rPr>
          <w:rFonts w:ascii="Arial" w:hAnsi="Arial" w:cs="Arial"/>
          <w:sz w:val="22"/>
          <w:szCs w:val="22"/>
        </w:rPr>
        <w:t>, popis opatření a způsob sledování výdajů.</w:t>
      </w:r>
    </w:p>
    <w:p w14:paraId="6414CC9A" w14:textId="77777777" w:rsidR="0084548C" w:rsidRDefault="0084548C">
      <w:pPr>
        <w:spacing w:after="200" w:line="276" w:lineRule="auto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14:paraId="6F444640" w14:textId="68035D07" w:rsidR="0037505A" w:rsidRPr="00434E34" w:rsidRDefault="00434E34" w:rsidP="00434E34">
      <w:pPr>
        <w:tabs>
          <w:tab w:val="left" w:pos="2880"/>
        </w:tabs>
        <w:jc w:val="center"/>
        <w:rPr>
          <w:rFonts w:ascii="Arial" w:hAnsi="Arial" w:cs="Arial"/>
          <w:b/>
          <w:color w:val="0070C0"/>
        </w:rPr>
      </w:pPr>
      <w:r w:rsidRPr="00434E34">
        <w:rPr>
          <w:rFonts w:ascii="Arial" w:hAnsi="Arial" w:cs="Arial"/>
          <w:b/>
          <w:color w:val="0070C0"/>
        </w:rPr>
        <w:lastRenderedPageBreak/>
        <w:t>Komparace obou dokumentů a vymezení jejich vztahu</w:t>
      </w:r>
    </w:p>
    <w:p w14:paraId="4A200F3C" w14:textId="77777777" w:rsidR="0037505A" w:rsidRPr="00434E34" w:rsidRDefault="0037505A" w:rsidP="00434E34">
      <w:pPr>
        <w:tabs>
          <w:tab w:val="left" w:pos="2880"/>
        </w:tabs>
        <w:jc w:val="center"/>
        <w:rPr>
          <w:rFonts w:ascii="Arial" w:hAnsi="Arial" w:cs="Arial"/>
          <w:b/>
          <w:color w:val="0070C0"/>
        </w:rPr>
      </w:pPr>
    </w:p>
    <w:p w14:paraId="79E81003" w14:textId="4143E013" w:rsidR="00434E34" w:rsidRPr="00434E34" w:rsidRDefault="00434E34" w:rsidP="00434E34">
      <w:pPr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Oba dokumenty </w:t>
      </w:r>
      <w:r w:rsidRPr="00434E34">
        <w:rPr>
          <w:rFonts w:ascii="Arial" w:hAnsi="Arial" w:cs="Arial"/>
          <w:b/>
          <w:bCs/>
          <w:sz w:val="22"/>
          <w:szCs w:val="22"/>
        </w:rPr>
        <w:t>COM(2025) 552</w:t>
      </w:r>
      <w:r w:rsidRPr="00434E34">
        <w:rPr>
          <w:rFonts w:ascii="Arial" w:hAnsi="Arial" w:cs="Arial"/>
          <w:sz w:val="22"/>
          <w:szCs w:val="22"/>
        </w:rPr>
        <w:t xml:space="preserve"> a </w:t>
      </w:r>
      <w:r w:rsidRPr="00434E34">
        <w:rPr>
          <w:rFonts w:ascii="Arial" w:hAnsi="Arial" w:cs="Arial"/>
          <w:b/>
          <w:bCs/>
          <w:sz w:val="22"/>
          <w:szCs w:val="22"/>
        </w:rPr>
        <w:t>COM(2025) 565</w:t>
      </w:r>
      <w:r w:rsidRPr="00434E34">
        <w:rPr>
          <w:rFonts w:ascii="Arial" w:hAnsi="Arial" w:cs="Arial"/>
          <w:sz w:val="22"/>
          <w:szCs w:val="22"/>
        </w:rPr>
        <w:t xml:space="preserve"> spolu úzce souvisejí a tvoří </w:t>
      </w:r>
      <w:r w:rsidRPr="00434E34">
        <w:rPr>
          <w:rFonts w:ascii="Arial" w:hAnsi="Arial" w:cs="Arial"/>
          <w:b/>
          <w:bCs/>
          <w:sz w:val="22"/>
          <w:szCs w:val="22"/>
        </w:rPr>
        <w:t>komplementární legislativní návrhy</w:t>
      </w:r>
      <w:r w:rsidRPr="00434E34">
        <w:rPr>
          <w:rFonts w:ascii="Arial" w:hAnsi="Arial" w:cs="Arial"/>
          <w:sz w:val="22"/>
          <w:szCs w:val="22"/>
        </w:rPr>
        <w:t xml:space="preserve"> v rámci přípravy víceletého finančního rámce EU na</w:t>
      </w:r>
      <w:r w:rsidR="0087262E">
        <w:rPr>
          <w:rFonts w:ascii="Arial" w:hAnsi="Arial" w:cs="Arial"/>
          <w:sz w:val="22"/>
          <w:szCs w:val="22"/>
        </w:rPr>
        <w:t> </w:t>
      </w:r>
      <w:r w:rsidRPr="00434E34">
        <w:rPr>
          <w:rFonts w:ascii="Arial" w:hAnsi="Arial" w:cs="Arial"/>
          <w:sz w:val="22"/>
          <w:szCs w:val="22"/>
        </w:rPr>
        <w:t xml:space="preserve">období 2028–2034. Zde je jejich </w:t>
      </w:r>
      <w:r w:rsidRPr="00434E34">
        <w:rPr>
          <w:rFonts w:ascii="Arial" w:hAnsi="Arial" w:cs="Arial"/>
          <w:b/>
          <w:bCs/>
          <w:sz w:val="22"/>
          <w:szCs w:val="22"/>
        </w:rPr>
        <w:t>vztah a rozdělení rolí</w:t>
      </w:r>
      <w:r w:rsidRPr="00434E34">
        <w:rPr>
          <w:rFonts w:ascii="Arial" w:hAnsi="Arial" w:cs="Arial"/>
          <w:sz w:val="22"/>
          <w:szCs w:val="22"/>
        </w:rPr>
        <w:t>:</w:t>
      </w:r>
    </w:p>
    <w:p w14:paraId="56BB47B6" w14:textId="77777777" w:rsidR="00434E34" w:rsidRPr="00434E34" w:rsidRDefault="00434E34" w:rsidP="00434E34">
      <w:pPr>
        <w:pStyle w:val="Nadpis1"/>
        <w:rPr>
          <w:sz w:val="22"/>
          <w:szCs w:val="22"/>
        </w:rPr>
      </w:pPr>
      <w:r w:rsidRPr="00434E34">
        <w:rPr>
          <w:sz w:val="22"/>
          <w:szCs w:val="22"/>
        </w:rPr>
        <w:t xml:space="preserve"> </w:t>
      </w:r>
      <w:r w:rsidRPr="00434E34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1. COM(2025) 565 – Návrh nařízení o zřízení Národního a regionálního partnerského fondu (NRPP)</w:t>
      </w:r>
    </w:p>
    <w:p w14:paraId="69BAFE6F" w14:textId="77777777" w:rsidR="00434E34" w:rsidRPr="00434E34" w:rsidRDefault="00434E34" w:rsidP="00434E34">
      <w:pPr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Tento dokument je </w:t>
      </w:r>
      <w:r w:rsidRPr="00434E34">
        <w:rPr>
          <w:rFonts w:ascii="Arial" w:hAnsi="Arial" w:cs="Arial"/>
          <w:b/>
          <w:bCs/>
          <w:sz w:val="22"/>
          <w:szCs w:val="22"/>
        </w:rPr>
        <w:t>základním rámcovým nařízením</w:t>
      </w:r>
      <w:r w:rsidRPr="00434E34">
        <w:rPr>
          <w:rFonts w:ascii="Arial" w:hAnsi="Arial" w:cs="Arial"/>
          <w:sz w:val="22"/>
          <w:szCs w:val="22"/>
        </w:rPr>
        <w:t>, které:</w:t>
      </w:r>
    </w:p>
    <w:p w14:paraId="45BFE90D" w14:textId="77777777" w:rsidR="00434E34" w:rsidRPr="00434E34" w:rsidRDefault="00434E34" w:rsidP="0084548C">
      <w:pPr>
        <w:numPr>
          <w:ilvl w:val="0"/>
          <w:numId w:val="48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zřizuje nový integrovaný fond</w:t>
      </w:r>
      <w:r w:rsidRPr="00434E34">
        <w:rPr>
          <w:rFonts w:ascii="Arial" w:hAnsi="Arial" w:cs="Arial"/>
          <w:sz w:val="22"/>
          <w:szCs w:val="22"/>
        </w:rPr>
        <w:t xml:space="preserve"> pro období 2028–2034, který slučuje více dosavadních fondů (např. ERDF, ESF+, CF, EAFRD, EMFAF, AMIF, ISF, BMVI, SCF),</w:t>
      </w:r>
    </w:p>
    <w:p w14:paraId="6E5C73CF" w14:textId="77777777" w:rsidR="00434E34" w:rsidRPr="00434E34" w:rsidRDefault="00434E34" w:rsidP="0084548C">
      <w:pPr>
        <w:numPr>
          <w:ilvl w:val="0"/>
          <w:numId w:val="48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stanovuje </w:t>
      </w:r>
      <w:r w:rsidRPr="00434E34">
        <w:rPr>
          <w:rFonts w:ascii="Arial" w:hAnsi="Arial" w:cs="Arial"/>
          <w:b/>
          <w:bCs/>
          <w:sz w:val="22"/>
          <w:szCs w:val="22"/>
        </w:rPr>
        <w:t>společná pravidla</w:t>
      </w:r>
      <w:r w:rsidRPr="00434E34">
        <w:rPr>
          <w:rFonts w:ascii="Arial" w:hAnsi="Arial" w:cs="Arial"/>
          <w:sz w:val="22"/>
          <w:szCs w:val="22"/>
        </w:rPr>
        <w:t xml:space="preserve"> pro plánování, řízení, monitorování a kontrolu prostředků EU v rámci tzv. </w:t>
      </w:r>
      <w:r w:rsidRPr="00434E34">
        <w:rPr>
          <w:rFonts w:ascii="Arial" w:hAnsi="Arial" w:cs="Arial"/>
          <w:b/>
          <w:bCs/>
          <w:sz w:val="22"/>
          <w:szCs w:val="22"/>
        </w:rPr>
        <w:t>Národních a regionálních partnerských plánů (NRPP)</w:t>
      </w:r>
      <w:r w:rsidRPr="00434E34">
        <w:rPr>
          <w:rFonts w:ascii="Arial" w:hAnsi="Arial" w:cs="Arial"/>
          <w:sz w:val="22"/>
          <w:szCs w:val="22"/>
        </w:rPr>
        <w:t xml:space="preserve"> a </w:t>
      </w:r>
      <w:r w:rsidRPr="00434E34">
        <w:rPr>
          <w:rFonts w:ascii="Arial" w:hAnsi="Arial" w:cs="Arial"/>
          <w:b/>
          <w:bCs/>
          <w:sz w:val="22"/>
          <w:szCs w:val="22"/>
        </w:rPr>
        <w:t>Interreg plánu</w:t>
      </w:r>
      <w:r w:rsidRPr="00434E34">
        <w:rPr>
          <w:rFonts w:ascii="Arial" w:hAnsi="Arial" w:cs="Arial"/>
          <w:sz w:val="22"/>
          <w:szCs w:val="22"/>
        </w:rPr>
        <w:t>,</w:t>
      </w:r>
    </w:p>
    <w:p w14:paraId="6BD3AF1A" w14:textId="3020EF80" w:rsidR="00434E34" w:rsidRPr="00434E34" w:rsidRDefault="00434E34">
      <w:pPr>
        <w:numPr>
          <w:ilvl w:val="0"/>
          <w:numId w:val="48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definuje </w:t>
      </w:r>
      <w:r w:rsidRPr="00434E34">
        <w:rPr>
          <w:rFonts w:ascii="Arial" w:hAnsi="Arial" w:cs="Arial"/>
          <w:b/>
          <w:bCs/>
          <w:sz w:val="22"/>
          <w:szCs w:val="22"/>
        </w:rPr>
        <w:t>obecné a specifické cíle</w:t>
      </w:r>
      <w:r w:rsidRPr="00434E34">
        <w:rPr>
          <w:rFonts w:ascii="Arial" w:hAnsi="Arial" w:cs="Arial"/>
          <w:sz w:val="22"/>
          <w:szCs w:val="22"/>
        </w:rPr>
        <w:t xml:space="preserve"> fondu, principy partnerství, víceúrovňového řízení, pravidla pro výkonnostní rámec, rozpočtové závazky, předfinancování, půjčky a</w:t>
      </w:r>
      <w:r w:rsidR="0087262E">
        <w:rPr>
          <w:rFonts w:ascii="Arial" w:hAnsi="Arial" w:cs="Arial"/>
          <w:sz w:val="22"/>
          <w:szCs w:val="22"/>
        </w:rPr>
        <w:t> </w:t>
      </w:r>
      <w:r w:rsidRPr="00434E34">
        <w:rPr>
          <w:rFonts w:ascii="Arial" w:hAnsi="Arial" w:cs="Arial"/>
          <w:sz w:val="22"/>
          <w:szCs w:val="22"/>
        </w:rPr>
        <w:t>podmínky pro uvolnění prostředků.</w:t>
      </w:r>
    </w:p>
    <w:p w14:paraId="32F16FA8" w14:textId="77777777" w:rsidR="00434E34" w:rsidRPr="00434E34" w:rsidRDefault="00434E34" w:rsidP="00434E34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34E34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2. COM(2025) 552 – Návrh nařízení o ERDF, Interreg a Kohezním fondu</w:t>
      </w:r>
    </w:p>
    <w:p w14:paraId="73555991" w14:textId="77777777" w:rsidR="00434E34" w:rsidRPr="00434E34" w:rsidRDefault="00434E34" w:rsidP="00434E34">
      <w:pPr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Tento dokument je </w:t>
      </w:r>
      <w:r w:rsidRPr="00434E34">
        <w:rPr>
          <w:rFonts w:ascii="Arial" w:hAnsi="Arial" w:cs="Arial"/>
          <w:b/>
          <w:bCs/>
          <w:sz w:val="22"/>
          <w:szCs w:val="22"/>
        </w:rPr>
        <w:t>sektorovým nařízením</w:t>
      </w:r>
      <w:r w:rsidRPr="00434E34">
        <w:rPr>
          <w:rFonts w:ascii="Arial" w:hAnsi="Arial" w:cs="Arial"/>
          <w:sz w:val="22"/>
          <w:szCs w:val="22"/>
        </w:rPr>
        <w:t>, které:</w:t>
      </w:r>
    </w:p>
    <w:p w14:paraId="2C5A1234" w14:textId="77777777" w:rsidR="00434E34" w:rsidRPr="00434E34" w:rsidRDefault="00434E34" w:rsidP="0084548C">
      <w:pPr>
        <w:numPr>
          <w:ilvl w:val="0"/>
          <w:numId w:val="49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navazuje na rámcové nařízení COM(2025) 565</w:t>
      </w:r>
      <w:r w:rsidRPr="00434E34">
        <w:rPr>
          <w:rFonts w:ascii="Arial" w:hAnsi="Arial" w:cs="Arial"/>
          <w:sz w:val="22"/>
          <w:szCs w:val="22"/>
        </w:rPr>
        <w:t xml:space="preserve"> a doplňuje jej o </w:t>
      </w:r>
      <w:r w:rsidRPr="00434E34">
        <w:rPr>
          <w:rFonts w:ascii="Arial" w:hAnsi="Arial" w:cs="Arial"/>
          <w:b/>
          <w:bCs/>
          <w:sz w:val="22"/>
          <w:szCs w:val="22"/>
        </w:rPr>
        <w:t>specifická pravidla</w:t>
      </w:r>
      <w:r w:rsidRPr="00434E34">
        <w:rPr>
          <w:rFonts w:ascii="Arial" w:hAnsi="Arial" w:cs="Arial"/>
          <w:sz w:val="22"/>
          <w:szCs w:val="22"/>
        </w:rPr>
        <w:t xml:space="preserve"> pro tři fondy:</w:t>
      </w:r>
    </w:p>
    <w:p w14:paraId="1679188E" w14:textId="77777777" w:rsidR="00434E34" w:rsidRPr="00434E34" w:rsidRDefault="00434E34" w:rsidP="0084548C">
      <w:pPr>
        <w:numPr>
          <w:ilvl w:val="1"/>
          <w:numId w:val="49"/>
        </w:numPr>
        <w:spacing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Evropský fond pro regionální rozvoj (ERDF)</w:t>
      </w:r>
      <w:r w:rsidRPr="00434E34">
        <w:rPr>
          <w:rFonts w:ascii="Arial" w:hAnsi="Arial" w:cs="Arial"/>
          <w:sz w:val="22"/>
          <w:szCs w:val="22"/>
        </w:rPr>
        <w:t>,</w:t>
      </w:r>
    </w:p>
    <w:p w14:paraId="3EAFB3E3" w14:textId="77777777" w:rsidR="00434E34" w:rsidRPr="00434E34" w:rsidRDefault="00434E34" w:rsidP="0084548C">
      <w:pPr>
        <w:numPr>
          <w:ilvl w:val="1"/>
          <w:numId w:val="49"/>
        </w:numPr>
        <w:spacing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Kohezní fond (CF)</w:t>
      </w:r>
      <w:r w:rsidRPr="00434E34">
        <w:rPr>
          <w:rFonts w:ascii="Arial" w:hAnsi="Arial" w:cs="Arial"/>
          <w:sz w:val="22"/>
          <w:szCs w:val="22"/>
        </w:rPr>
        <w:t>,</w:t>
      </w:r>
    </w:p>
    <w:p w14:paraId="7594DD0F" w14:textId="77777777" w:rsidR="00434E34" w:rsidRPr="00434E34" w:rsidRDefault="00434E34" w:rsidP="0084548C">
      <w:pPr>
        <w:numPr>
          <w:ilvl w:val="1"/>
          <w:numId w:val="49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Evropská územní spolupráce (Interreg)</w:t>
      </w:r>
      <w:r w:rsidRPr="00434E34">
        <w:rPr>
          <w:rFonts w:ascii="Arial" w:hAnsi="Arial" w:cs="Arial"/>
          <w:sz w:val="22"/>
          <w:szCs w:val="22"/>
        </w:rPr>
        <w:t>,</w:t>
      </w:r>
    </w:p>
    <w:p w14:paraId="6AF1813B" w14:textId="77777777" w:rsidR="00434E34" w:rsidRPr="00434E34" w:rsidRDefault="00434E34" w:rsidP="0084548C">
      <w:pPr>
        <w:numPr>
          <w:ilvl w:val="0"/>
          <w:numId w:val="49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stanovuje </w:t>
      </w:r>
      <w:r w:rsidRPr="00434E34">
        <w:rPr>
          <w:rFonts w:ascii="Arial" w:hAnsi="Arial" w:cs="Arial"/>
          <w:b/>
          <w:bCs/>
          <w:sz w:val="22"/>
          <w:szCs w:val="22"/>
        </w:rPr>
        <w:t>cíle, oprávněné oblasti podpory, tematickou koncentraci, pravidla pro Interreg plán</w:t>
      </w:r>
      <w:r w:rsidRPr="00434E34">
        <w:rPr>
          <w:rFonts w:ascii="Arial" w:hAnsi="Arial" w:cs="Arial"/>
          <w:sz w:val="22"/>
          <w:szCs w:val="22"/>
        </w:rPr>
        <w:t>, včetně spolupráce s nečlenskými státy a vnějšími regiony,</w:t>
      </w:r>
    </w:p>
    <w:p w14:paraId="4DF7AD24" w14:textId="77777777" w:rsidR="00434E34" w:rsidRPr="00434E34" w:rsidRDefault="00434E34">
      <w:pPr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definuje </w:t>
      </w:r>
      <w:r w:rsidRPr="00434E34">
        <w:rPr>
          <w:rFonts w:ascii="Arial" w:hAnsi="Arial" w:cs="Arial"/>
          <w:b/>
          <w:bCs/>
          <w:sz w:val="22"/>
          <w:szCs w:val="22"/>
        </w:rPr>
        <w:t>specifické požadavky na programování, řízení a monitorování</w:t>
      </w:r>
      <w:r w:rsidRPr="00434E34">
        <w:rPr>
          <w:rFonts w:ascii="Arial" w:hAnsi="Arial" w:cs="Arial"/>
          <w:sz w:val="22"/>
          <w:szCs w:val="22"/>
        </w:rPr>
        <w:t xml:space="preserve"> těchto fondů v rámci NRPP a Interreg plánu.</w:t>
      </w:r>
    </w:p>
    <w:p w14:paraId="31BA2FE5" w14:textId="77777777" w:rsidR="00434E34" w:rsidRPr="00434E34" w:rsidRDefault="00434E34" w:rsidP="00434E34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34E34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3. Vztah mezi dokumenty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0"/>
        <w:gridCol w:w="4382"/>
      </w:tblGrid>
      <w:tr w:rsidR="00434E34" w:rsidRPr="00434E34" w14:paraId="0B948C14" w14:textId="77777777" w:rsidTr="00E7594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ECC3AA8" w14:textId="77777777" w:rsidR="00434E34" w:rsidRPr="00434E34" w:rsidRDefault="00434E34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COM(2025) 565 (NRPP)</w:t>
            </w:r>
          </w:p>
        </w:tc>
        <w:tc>
          <w:tcPr>
            <w:tcW w:w="0" w:type="auto"/>
            <w:vAlign w:val="center"/>
            <w:hideMark/>
          </w:tcPr>
          <w:p w14:paraId="0BF33067" w14:textId="77777777" w:rsidR="00434E34" w:rsidRPr="00434E34" w:rsidRDefault="00434E34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COM(2025) 552 (ERDF/CF/Interreg)</w:t>
            </w:r>
          </w:p>
        </w:tc>
      </w:tr>
      <w:tr w:rsidR="00434E34" w:rsidRPr="00434E34" w14:paraId="45757F9F" w14:textId="77777777" w:rsidTr="00E759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CE98A1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Rámcové nařízení pro všechny fondy</w:t>
            </w:r>
          </w:p>
        </w:tc>
        <w:tc>
          <w:tcPr>
            <w:tcW w:w="0" w:type="auto"/>
            <w:vAlign w:val="center"/>
            <w:hideMark/>
          </w:tcPr>
          <w:p w14:paraId="7CC24F9F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Sektorové nařízení pro ERDF, CF a Interreg</w:t>
            </w:r>
          </w:p>
        </w:tc>
      </w:tr>
      <w:tr w:rsidR="00434E34" w:rsidRPr="00434E34" w14:paraId="7F8E8C71" w14:textId="77777777" w:rsidTr="00E759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ADD027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Stanovuje společná pravidla a strukturu plánování (NRPP, Interreg Plan)</w:t>
            </w:r>
          </w:p>
        </w:tc>
        <w:tc>
          <w:tcPr>
            <w:tcW w:w="0" w:type="auto"/>
            <w:vAlign w:val="center"/>
            <w:hideMark/>
          </w:tcPr>
          <w:p w14:paraId="72173664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Stanovuje specifická pravidla pro regionální a územní politiku</w:t>
            </w:r>
          </w:p>
        </w:tc>
      </w:tr>
      <w:tr w:rsidR="00434E34" w:rsidRPr="00434E34" w14:paraId="7D06E3E5" w14:textId="77777777" w:rsidTr="00E759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AEBD78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Obsahuje odkazy na sektorová nařízení</w:t>
            </w:r>
          </w:p>
        </w:tc>
        <w:tc>
          <w:tcPr>
            <w:tcW w:w="0" w:type="auto"/>
            <w:vAlign w:val="center"/>
            <w:hideMark/>
          </w:tcPr>
          <w:p w14:paraId="3CA76628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Odkazuje na NRPP jako základní rámec</w:t>
            </w:r>
          </w:p>
        </w:tc>
      </w:tr>
    </w:tbl>
    <w:p w14:paraId="0C61C074" w14:textId="77777777" w:rsidR="00434E34" w:rsidRPr="00434E34" w:rsidRDefault="00434E34" w:rsidP="00434E34">
      <w:pPr>
        <w:rPr>
          <w:rFonts w:ascii="Arial" w:hAnsi="Arial" w:cs="Arial"/>
          <w:sz w:val="22"/>
          <w:szCs w:val="22"/>
        </w:rPr>
      </w:pPr>
    </w:p>
    <w:p w14:paraId="1D20EA26" w14:textId="77777777" w:rsidR="00434E34" w:rsidRPr="00434E34" w:rsidRDefault="00434E34" w:rsidP="00434E34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434E34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4. Shrnutí</w:t>
      </w:r>
    </w:p>
    <w:p w14:paraId="12C37CA3" w14:textId="09BA02D4" w:rsidR="00434E34" w:rsidRPr="00434E34" w:rsidRDefault="00434E34" w:rsidP="00434E34">
      <w:pPr>
        <w:jc w:val="both"/>
        <w:rPr>
          <w:rFonts w:ascii="Arial" w:hAnsi="Arial" w:cs="Arial"/>
          <w:sz w:val="22"/>
          <w:szCs w:val="22"/>
        </w:rPr>
      </w:pPr>
      <w:r w:rsidRPr="00724957">
        <w:rPr>
          <w:rFonts w:ascii="Arial" w:hAnsi="Arial" w:cs="Arial"/>
          <w:sz w:val="22"/>
          <w:szCs w:val="22"/>
        </w:rPr>
        <w:t xml:space="preserve">COM(2025) 565 je jako „ústava“ pro nový integrovaný fond EU, zatímco COM(2025) 552 </w:t>
      </w:r>
      <w:r w:rsidRPr="00434E34">
        <w:rPr>
          <w:rFonts w:ascii="Arial" w:hAnsi="Arial" w:cs="Arial"/>
          <w:sz w:val="22"/>
          <w:szCs w:val="22"/>
        </w:rPr>
        <w:t>je</w:t>
      </w:r>
      <w:r w:rsidR="0087262E">
        <w:rPr>
          <w:rFonts w:ascii="Arial" w:hAnsi="Arial" w:cs="Arial"/>
          <w:sz w:val="22"/>
          <w:szCs w:val="22"/>
        </w:rPr>
        <w:t> </w:t>
      </w:r>
      <w:r w:rsidRPr="00434E34">
        <w:rPr>
          <w:rFonts w:ascii="Arial" w:hAnsi="Arial" w:cs="Arial"/>
          <w:sz w:val="22"/>
          <w:szCs w:val="22"/>
        </w:rPr>
        <w:t xml:space="preserve">„prováděcí zákon“ pro oblast regionální politiky. Oba dokumenty jsou </w:t>
      </w:r>
      <w:r w:rsidRPr="00724957">
        <w:rPr>
          <w:rFonts w:ascii="Arial" w:hAnsi="Arial" w:cs="Arial"/>
          <w:sz w:val="22"/>
          <w:szCs w:val="22"/>
        </w:rPr>
        <w:t>vzájemně provázané</w:t>
      </w:r>
      <w:r w:rsidRPr="00434E34">
        <w:rPr>
          <w:rFonts w:ascii="Arial" w:hAnsi="Arial" w:cs="Arial"/>
          <w:sz w:val="22"/>
          <w:szCs w:val="22"/>
        </w:rPr>
        <w:t xml:space="preserve"> a nelze je plně pochopit odděleně — jeden definuje rámec, druhý jeho konkrétní aplikaci v</w:t>
      </w:r>
      <w:r w:rsidR="0087262E">
        <w:rPr>
          <w:rFonts w:ascii="Arial" w:hAnsi="Arial" w:cs="Arial"/>
          <w:sz w:val="22"/>
          <w:szCs w:val="22"/>
        </w:rPr>
        <w:t> </w:t>
      </w:r>
      <w:r w:rsidRPr="00434E34">
        <w:rPr>
          <w:rFonts w:ascii="Arial" w:hAnsi="Arial" w:cs="Arial"/>
          <w:sz w:val="22"/>
          <w:szCs w:val="22"/>
        </w:rPr>
        <w:t>oblasti soudržnosti.</w:t>
      </w:r>
    </w:p>
    <w:p w14:paraId="2639258F" w14:textId="77777777" w:rsidR="0084548C" w:rsidRDefault="0084548C">
      <w:pPr>
        <w:spacing w:after="200" w:line="276" w:lineRule="auto"/>
        <w:rPr>
          <w:rFonts w:ascii="Arial" w:hAnsi="Arial" w:cs="Arial"/>
          <w:bCs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br w:type="page"/>
      </w:r>
    </w:p>
    <w:p w14:paraId="709141F8" w14:textId="268DBA84" w:rsidR="00434E34" w:rsidRPr="00434E34" w:rsidRDefault="00434E34" w:rsidP="00434E34">
      <w:pPr>
        <w:pStyle w:val="Nadpis1"/>
        <w:jc w:val="both"/>
        <w:rPr>
          <w:sz w:val="22"/>
          <w:szCs w:val="22"/>
        </w:rPr>
      </w:pPr>
      <w:r w:rsidRPr="0087262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lastRenderedPageBreak/>
        <w:t>5.</w:t>
      </w:r>
      <w:r w:rsidRPr="00434E34">
        <w:rPr>
          <w:sz w:val="22"/>
          <w:szCs w:val="22"/>
        </w:rPr>
        <w:t xml:space="preserve"> </w:t>
      </w:r>
      <w:r w:rsidRPr="0087262E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t>Porovnání přístupů k vědě, výzkumu, vývoji a inovacím (VaVaI) COM (2025) 552 (ERDF/CF/Interreg) a COM (2025) 565 (NRPP)</w:t>
      </w:r>
      <w:r w:rsidRPr="00434E34">
        <w:rPr>
          <w:sz w:val="22"/>
          <w:szCs w:val="22"/>
        </w:rPr>
        <w:t xml:space="preserve"> </w:t>
      </w:r>
    </w:p>
    <w:p w14:paraId="77D87A2C" w14:textId="77777777" w:rsidR="0087262E" w:rsidRDefault="00434E34" w:rsidP="00434E34">
      <w:pPr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 </w:t>
      </w:r>
    </w:p>
    <w:p w14:paraId="0F9CAF3F" w14:textId="6C7F834B" w:rsidR="00434E34" w:rsidRPr="0087262E" w:rsidRDefault="0087262E" w:rsidP="0087262E">
      <w:pPr>
        <w:jc w:val="both"/>
        <w:rPr>
          <w:rFonts w:ascii="Arial" w:hAnsi="Arial" w:cs="Arial"/>
          <w:sz w:val="22"/>
          <w:szCs w:val="22"/>
        </w:rPr>
      </w:pPr>
      <w:r w:rsidRPr="0087262E">
        <w:rPr>
          <w:rFonts w:ascii="Arial" w:hAnsi="Arial" w:cs="Arial"/>
          <w:b/>
          <w:bCs/>
          <w:sz w:val="22"/>
          <w:szCs w:val="22"/>
        </w:rPr>
        <w:t>Porovnání COM (2025) 552</w:t>
      </w:r>
      <w:r w:rsidRPr="0087262E">
        <w:rPr>
          <w:rFonts w:ascii="Arial" w:hAnsi="Arial" w:cs="Arial"/>
          <w:b/>
          <w:sz w:val="22"/>
          <w:szCs w:val="22"/>
        </w:rPr>
        <w:t xml:space="preserve"> (ERDF/CF/Interreg) a </w:t>
      </w:r>
      <w:r w:rsidRPr="0087262E">
        <w:rPr>
          <w:rFonts w:ascii="Arial" w:hAnsi="Arial" w:cs="Arial"/>
          <w:b/>
          <w:bCs/>
          <w:sz w:val="22"/>
          <w:szCs w:val="22"/>
        </w:rPr>
        <w:t>COM (2025) 565</w:t>
      </w:r>
      <w:r w:rsidRPr="0087262E">
        <w:rPr>
          <w:rFonts w:ascii="Arial" w:hAnsi="Arial" w:cs="Arial"/>
          <w:b/>
          <w:sz w:val="22"/>
          <w:szCs w:val="22"/>
        </w:rPr>
        <w:t xml:space="preserve"> (NRPP)</w:t>
      </w:r>
      <w:r w:rsidRPr="0087262E">
        <w:rPr>
          <w:rFonts w:ascii="Arial" w:hAnsi="Arial" w:cs="Arial"/>
          <w:sz w:val="22"/>
          <w:szCs w:val="22"/>
        </w:rPr>
        <w:t xml:space="preserve"> </w:t>
      </w:r>
      <w:r w:rsidR="00434E34" w:rsidRPr="0087262E">
        <w:rPr>
          <w:rFonts w:ascii="Arial" w:hAnsi="Arial" w:cs="Arial"/>
          <w:sz w:val="22"/>
          <w:szCs w:val="22"/>
        </w:rPr>
        <w:t>ukazuje rozdílnou míru podrobnosti a ambicí.</w:t>
      </w:r>
    </w:p>
    <w:p w14:paraId="08FBC9F3" w14:textId="77777777" w:rsidR="00434E34" w:rsidRPr="00434E34" w:rsidRDefault="00434E34" w:rsidP="00434E34">
      <w:pPr>
        <w:rPr>
          <w:rFonts w:ascii="Arial" w:hAnsi="Arial" w:cs="Arial"/>
          <w:sz w:val="22"/>
          <w:szCs w:val="22"/>
        </w:rPr>
      </w:pPr>
    </w:p>
    <w:p w14:paraId="3E7F1C62" w14:textId="572D7F09" w:rsidR="00434E34" w:rsidRPr="0087262E" w:rsidRDefault="0084548C" w:rsidP="00434E34">
      <w:pPr>
        <w:rPr>
          <w:rFonts w:ascii="Arial" w:hAnsi="Arial" w:cs="Arial"/>
          <w:bCs/>
          <w:color w:val="0070C0"/>
          <w:sz w:val="22"/>
          <w:szCs w:val="22"/>
        </w:rPr>
      </w:pPr>
      <w:r>
        <w:rPr>
          <w:rFonts w:ascii="Arial" w:hAnsi="Arial" w:cs="Arial"/>
          <w:bCs/>
          <w:color w:val="0070C0"/>
          <w:sz w:val="22"/>
          <w:szCs w:val="22"/>
        </w:rPr>
        <w:t>I</w:t>
      </w:r>
      <w:r w:rsidR="00434E34" w:rsidRPr="0087262E">
        <w:rPr>
          <w:rFonts w:ascii="Arial" w:hAnsi="Arial" w:cs="Arial"/>
          <w:bCs/>
          <w:color w:val="0070C0"/>
          <w:sz w:val="22"/>
          <w:szCs w:val="22"/>
        </w:rPr>
        <w:t>. COM(2025) 552 – ERDF, CF a Interreg</w:t>
      </w:r>
    </w:p>
    <w:p w14:paraId="2D70C2C7" w14:textId="77777777" w:rsidR="00434E34" w:rsidRPr="00434E34" w:rsidRDefault="00434E34" w:rsidP="0087262E">
      <w:pPr>
        <w:pStyle w:val="Nadpis1"/>
        <w:rPr>
          <w:b w:val="0"/>
          <w:bCs w:val="0"/>
          <w:sz w:val="22"/>
          <w:szCs w:val="22"/>
        </w:rPr>
      </w:pPr>
      <w:r w:rsidRPr="00434E34">
        <w:rPr>
          <w:sz w:val="22"/>
          <w:szCs w:val="22"/>
        </w:rPr>
        <w:t>Kontext:</w:t>
      </w:r>
    </w:p>
    <w:p w14:paraId="59ED2AB4" w14:textId="77777777" w:rsidR="00434E34" w:rsidRPr="00434E34" w:rsidRDefault="00434E34">
      <w:pPr>
        <w:numPr>
          <w:ilvl w:val="0"/>
          <w:numId w:val="50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Dokument se zaměřuje na </w:t>
      </w:r>
      <w:r w:rsidRPr="00434E34">
        <w:rPr>
          <w:rFonts w:ascii="Arial" w:hAnsi="Arial" w:cs="Arial"/>
          <w:b/>
          <w:bCs/>
          <w:sz w:val="22"/>
          <w:szCs w:val="22"/>
        </w:rPr>
        <w:t>regionální rozvoj a soudržnost</w:t>
      </w:r>
      <w:r w:rsidRPr="00434E34">
        <w:rPr>
          <w:rFonts w:ascii="Arial" w:hAnsi="Arial" w:cs="Arial"/>
          <w:sz w:val="22"/>
          <w:szCs w:val="22"/>
        </w:rPr>
        <w:t xml:space="preserve">, přičemž VaVaI je vnímán jako </w:t>
      </w:r>
      <w:r w:rsidRPr="00434E34">
        <w:rPr>
          <w:rFonts w:ascii="Arial" w:hAnsi="Arial" w:cs="Arial"/>
          <w:b/>
          <w:bCs/>
          <w:sz w:val="22"/>
          <w:szCs w:val="22"/>
        </w:rPr>
        <w:t>součást širšího rámce podpory konkurenceschopnosti a inovací</w:t>
      </w:r>
      <w:r w:rsidRPr="00434E34">
        <w:rPr>
          <w:rFonts w:ascii="Arial" w:hAnsi="Arial" w:cs="Arial"/>
          <w:sz w:val="22"/>
          <w:szCs w:val="22"/>
        </w:rPr>
        <w:t>.</w:t>
      </w:r>
    </w:p>
    <w:p w14:paraId="7A8C1022" w14:textId="77777777" w:rsidR="00434E34" w:rsidRDefault="00434E34" w:rsidP="00434E34">
      <w:pPr>
        <w:rPr>
          <w:rFonts w:ascii="Arial" w:hAnsi="Arial" w:cs="Arial"/>
          <w:b/>
          <w:bCs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Klíčové prvky:</w:t>
      </w:r>
    </w:p>
    <w:p w14:paraId="599260E7" w14:textId="77777777" w:rsidR="0087262E" w:rsidRPr="00434E34" w:rsidRDefault="0087262E" w:rsidP="00434E34">
      <w:pPr>
        <w:rPr>
          <w:rFonts w:ascii="Arial" w:hAnsi="Arial" w:cs="Arial"/>
          <w:b/>
          <w:bCs/>
          <w:sz w:val="22"/>
          <w:szCs w:val="22"/>
        </w:rPr>
      </w:pPr>
    </w:p>
    <w:p w14:paraId="6A53D2E6" w14:textId="77777777" w:rsidR="00434E34" w:rsidRPr="00434E34" w:rsidRDefault="00434E34" w:rsidP="0084548C">
      <w:pPr>
        <w:numPr>
          <w:ilvl w:val="0"/>
          <w:numId w:val="51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ERDF a CF</w:t>
      </w:r>
      <w:r w:rsidRPr="00434E34">
        <w:rPr>
          <w:rFonts w:ascii="Arial" w:hAnsi="Arial" w:cs="Arial"/>
          <w:sz w:val="22"/>
          <w:szCs w:val="22"/>
        </w:rPr>
        <w:t xml:space="preserve"> mají podporovat:</w:t>
      </w:r>
    </w:p>
    <w:p w14:paraId="2CCEA6C9" w14:textId="77777777" w:rsidR="00434E34" w:rsidRPr="00434E34" w:rsidRDefault="00434E34" w:rsidP="0084548C">
      <w:pPr>
        <w:numPr>
          <w:ilvl w:val="1"/>
          <w:numId w:val="51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Inovace, podnikání a výzkumné ekosystémy</w:t>
      </w:r>
      <w:r w:rsidRPr="00434E34">
        <w:rPr>
          <w:rFonts w:ascii="Arial" w:hAnsi="Arial" w:cs="Arial"/>
          <w:sz w:val="22"/>
          <w:szCs w:val="22"/>
        </w:rPr>
        <w:t>,</w:t>
      </w:r>
    </w:p>
    <w:p w14:paraId="0EE12FB6" w14:textId="77777777" w:rsidR="00434E34" w:rsidRPr="00434E34" w:rsidRDefault="00434E34" w:rsidP="0084548C">
      <w:pPr>
        <w:numPr>
          <w:ilvl w:val="1"/>
          <w:numId w:val="51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Přístup mladých lidí k inovacím, vzdělání a zaměstnání</w:t>
      </w:r>
      <w:r w:rsidRPr="00434E34">
        <w:rPr>
          <w:rFonts w:ascii="Arial" w:hAnsi="Arial" w:cs="Arial"/>
          <w:sz w:val="22"/>
          <w:szCs w:val="22"/>
        </w:rPr>
        <w:t>,</w:t>
      </w:r>
    </w:p>
    <w:p w14:paraId="6FEFFF8E" w14:textId="77777777" w:rsidR="00434E34" w:rsidRPr="00434E34" w:rsidRDefault="00434E34" w:rsidP="0084548C">
      <w:pPr>
        <w:numPr>
          <w:ilvl w:val="1"/>
          <w:numId w:val="51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Projekty s evropskou přidanou hodnotou</w:t>
      </w:r>
      <w:r w:rsidRPr="00434E34">
        <w:rPr>
          <w:rFonts w:ascii="Arial" w:hAnsi="Arial" w:cs="Arial"/>
          <w:sz w:val="22"/>
          <w:szCs w:val="22"/>
        </w:rPr>
        <w:t xml:space="preserve"> v oblasti průmyslové a výzkumné politiky,</w:t>
      </w:r>
    </w:p>
    <w:p w14:paraId="652BCB64" w14:textId="77777777" w:rsidR="00434E34" w:rsidRPr="00434E34" w:rsidRDefault="00434E34">
      <w:pPr>
        <w:numPr>
          <w:ilvl w:val="0"/>
          <w:numId w:val="51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Důraz na </w:t>
      </w:r>
      <w:r w:rsidRPr="00434E34">
        <w:rPr>
          <w:rFonts w:ascii="Arial" w:hAnsi="Arial" w:cs="Arial"/>
          <w:b/>
          <w:bCs/>
          <w:sz w:val="22"/>
          <w:szCs w:val="22"/>
        </w:rPr>
        <w:t>soulad s dalšími nástroji EU</w:t>
      </w:r>
      <w:r w:rsidRPr="00434E34">
        <w:rPr>
          <w:rFonts w:ascii="Arial" w:hAnsi="Arial" w:cs="Arial"/>
          <w:sz w:val="22"/>
          <w:szCs w:val="22"/>
        </w:rPr>
        <w:t>: Horizon Europe, Connecting Europe Facility, Global Europe.</w:t>
      </w:r>
    </w:p>
    <w:p w14:paraId="0E40E3BC" w14:textId="6A6D5F03" w:rsidR="0087262E" w:rsidRPr="00434E34" w:rsidRDefault="00434E34" w:rsidP="0072495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Shrnutí:</w:t>
      </w:r>
    </w:p>
    <w:p w14:paraId="531DB749" w14:textId="77777777" w:rsidR="00434E34" w:rsidRPr="00434E34" w:rsidRDefault="00434E34" w:rsidP="00724957">
      <w:pPr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VaVaI je podporováno jako </w:t>
      </w:r>
      <w:r w:rsidRPr="00434E34">
        <w:rPr>
          <w:rFonts w:ascii="Arial" w:hAnsi="Arial" w:cs="Arial"/>
          <w:b/>
          <w:bCs/>
          <w:sz w:val="22"/>
          <w:szCs w:val="22"/>
        </w:rPr>
        <w:t>součást regionálních strategií</w:t>
      </w:r>
      <w:r w:rsidRPr="00434E34">
        <w:rPr>
          <w:rFonts w:ascii="Arial" w:hAnsi="Arial" w:cs="Arial"/>
          <w:sz w:val="22"/>
          <w:szCs w:val="22"/>
        </w:rPr>
        <w:t xml:space="preserve"> a </w:t>
      </w:r>
      <w:r w:rsidRPr="00434E34">
        <w:rPr>
          <w:rFonts w:ascii="Arial" w:hAnsi="Arial" w:cs="Arial"/>
          <w:b/>
          <w:bCs/>
          <w:sz w:val="22"/>
          <w:szCs w:val="22"/>
        </w:rPr>
        <w:t>nástroj pro vyrovnávání rozdílů mezi regiony</w:t>
      </w:r>
      <w:r w:rsidRPr="00434E34">
        <w:rPr>
          <w:rFonts w:ascii="Arial" w:hAnsi="Arial" w:cs="Arial"/>
          <w:sz w:val="22"/>
          <w:szCs w:val="22"/>
        </w:rPr>
        <w:t>, nikoli jako samostatný cíl.</w:t>
      </w:r>
    </w:p>
    <w:p w14:paraId="360D5C96" w14:textId="77777777" w:rsidR="00434E34" w:rsidRPr="00434E34" w:rsidRDefault="00434E34" w:rsidP="00434E34">
      <w:pPr>
        <w:rPr>
          <w:rFonts w:ascii="Arial" w:hAnsi="Arial" w:cs="Arial"/>
          <w:sz w:val="22"/>
          <w:szCs w:val="22"/>
        </w:rPr>
      </w:pPr>
    </w:p>
    <w:p w14:paraId="39A5C401" w14:textId="33B4BD9B" w:rsidR="00434E34" w:rsidRPr="0087262E" w:rsidRDefault="0084548C" w:rsidP="00434E34">
      <w:pPr>
        <w:rPr>
          <w:rFonts w:ascii="Arial" w:hAnsi="Arial" w:cs="Arial"/>
          <w:bCs/>
          <w:color w:val="0070C0"/>
          <w:sz w:val="22"/>
          <w:szCs w:val="22"/>
        </w:rPr>
      </w:pPr>
      <w:r>
        <w:rPr>
          <w:rFonts w:ascii="Arial" w:hAnsi="Arial" w:cs="Arial"/>
          <w:bCs/>
          <w:color w:val="0070C0"/>
          <w:sz w:val="22"/>
          <w:szCs w:val="22"/>
        </w:rPr>
        <w:t>II</w:t>
      </w:r>
      <w:r w:rsidR="00434E34" w:rsidRPr="0087262E">
        <w:rPr>
          <w:rFonts w:ascii="Arial" w:hAnsi="Arial" w:cs="Arial"/>
          <w:bCs/>
          <w:color w:val="0070C0"/>
          <w:sz w:val="22"/>
          <w:szCs w:val="22"/>
        </w:rPr>
        <w:t>. COM(2025) 565 – Národní a regionální partnerské plány (NRPP)</w:t>
      </w:r>
    </w:p>
    <w:p w14:paraId="275D2837" w14:textId="77777777" w:rsidR="00434E34" w:rsidRPr="00434E34" w:rsidRDefault="00434E34" w:rsidP="00434E34">
      <w:pPr>
        <w:rPr>
          <w:rFonts w:ascii="Arial" w:hAnsi="Arial" w:cs="Arial"/>
          <w:b/>
          <w:bCs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Kontext:</w:t>
      </w:r>
    </w:p>
    <w:p w14:paraId="3BDC9541" w14:textId="77777777" w:rsidR="00434E34" w:rsidRPr="00434E34" w:rsidRDefault="00434E34">
      <w:pPr>
        <w:numPr>
          <w:ilvl w:val="0"/>
          <w:numId w:val="52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Tento návrh je </w:t>
      </w:r>
      <w:r w:rsidRPr="00434E34">
        <w:rPr>
          <w:rFonts w:ascii="Arial" w:hAnsi="Arial" w:cs="Arial"/>
          <w:b/>
          <w:bCs/>
          <w:sz w:val="22"/>
          <w:szCs w:val="22"/>
        </w:rPr>
        <w:t>základním rámcem</w:t>
      </w:r>
      <w:r w:rsidRPr="00434E34">
        <w:rPr>
          <w:rFonts w:ascii="Arial" w:hAnsi="Arial" w:cs="Arial"/>
          <w:sz w:val="22"/>
          <w:szCs w:val="22"/>
        </w:rPr>
        <w:t xml:space="preserve"> pro všechny fondy EU v období 2028–2034, včetně ERDF, ESF+, CF, EAFRD, EMFAF aj.</w:t>
      </w:r>
    </w:p>
    <w:p w14:paraId="1856BF33" w14:textId="77777777" w:rsidR="00434E34" w:rsidRPr="00434E34" w:rsidRDefault="00434E34" w:rsidP="00434E34">
      <w:pPr>
        <w:rPr>
          <w:rFonts w:ascii="Arial" w:hAnsi="Arial" w:cs="Arial"/>
          <w:b/>
          <w:bCs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Klíčové prvky:</w:t>
      </w:r>
    </w:p>
    <w:p w14:paraId="52F1C02C" w14:textId="77777777" w:rsidR="00434E34" w:rsidRPr="00434E34" w:rsidRDefault="00434E34">
      <w:pPr>
        <w:numPr>
          <w:ilvl w:val="0"/>
          <w:numId w:val="53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Výzkum, vývoj a inovace</w:t>
      </w:r>
      <w:r w:rsidRPr="00434E34">
        <w:rPr>
          <w:rFonts w:ascii="Arial" w:hAnsi="Arial" w:cs="Arial"/>
          <w:sz w:val="22"/>
          <w:szCs w:val="22"/>
        </w:rPr>
        <w:t xml:space="preserve"> jsou explicitně uvedeny jako:</w:t>
      </w:r>
    </w:p>
    <w:p w14:paraId="1F663E1D" w14:textId="77777777" w:rsidR="00434E34" w:rsidRPr="00434E34" w:rsidRDefault="00434E34" w:rsidP="0084548C">
      <w:pPr>
        <w:numPr>
          <w:ilvl w:val="1"/>
          <w:numId w:val="53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Specifický cíl fondu</w:t>
      </w:r>
      <w:r w:rsidRPr="00434E34">
        <w:rPr>
          <w:rFonts w:ascii="Arial" w:hAnsi="Arial" w:cs="Arial"/>
          <w:sz w:val="22"/>
          <w:szCs w:val="22"/>
        </w:rPr>
        <w:t>: „podpora výzkumu, vývoje a inovací, včetně pokročilých technologií a digitálních řešení (např. AI)“,</w:t>
      </w:r>
    </w:p>
    <w:p w14:paraId="3069A81E" w14:textId="77777777" w:rsidR="00434E34" w:rsidRPr="00434E34" w:rsidRDefault="00434E34" w:rsidP="0084548C">
      <w:pPr>
        <w:numPr>
          <w:ilvl w:val="1"/>
          <w:numId w:val="53"/>
        </w:numPr>
        <w:spacing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Součást transformace ekonomik</w:t>
      </w:r>
      <w:r w:rsidRPr="00434E34">
        <w:rPr>
          <w:rFonts w:ascii="Arial" w:hAnsi="Arial" w:cs="Arial"/>
          <w:sz w:val="22"/>
          <w:szCs w:val="22"/>
        </w:rPr>
        <w:t xml:space="preserve"> a dosažení cíle 3 % HDP na výzkum a vývoj,</w:t>
      </w:r>
    </w:p>
    <w:p w14:paraId="6063489C" w14:textId="77777777" w:rsidR="00434E34" w:rsidRPr="00434E34" w:rsidRDefault="00434E34" w:rsidP="0084548C">
      <w:pPr>
        <w:numPr>
          <w:ilvl w:val="1"/>
          <w:numId w:val="53"/>
        </w:numPr>
        <w:spacing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Podpora IPCEI</w:t>
      </w:r>
      <w:r w:rsidRPr="00434E34">
        <w:rPr>
          <w:rFonts w:ascii="Arial" w:hAnsi="Arial" w:cs="Arial"/>
          <w:sz w:val="22"/>
          <w:szCs w:val="22"/>
        </w:rPr>
        <w:t xml:space="preserve"> (Important Projects of Common European Interest) v oblasti VaVaI a první průmyslové aplikace,</w:t>
      </w:r>
    </w:p>
    <w:p w14:paraId="5BE56DF9" w14:textId="77777777" w:rsidR="00434E34" w:rsidRPr="00434E34" w:rsidRDefault="00434E34" w:rsidP="0084548C">
      <w:pPr>
        <w:numPr>
          <w:ilvl w:val="1"/>
          <w:numId w:val="53"/>
        </w:numPr>
        <w:spacing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Synergie s programem Digital Decade a strategiemi pro dovednosti</w:t>
      </w:r>
      <w:r w:rsidRPr="00434E34">
        <w:rPr>
          <w:rFonts w:ascii="Arial" w:hAnsi="Arial" w:cs="Arial"/>
          <w:sz w:val="22"/>
          <w:szCs w:val="22"/>
        </w:rPr>
        <w:t>,</w:t>
      </w:r>
    </w:p>
    <w:p w14:paraId="0BB8D97A" w14:textId="77777777" w:rsidR="00434E34" w:rsidRPr="00434E34" w:rsidRDefault="00434E34" w:rsidP="0084548C">
      <w:pPr>
        <w:numPr>
          <w:ilvl w:val="1"/>
          <w:numId w:val="53"/>
        </w:numPr>
        <w:spacing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Podpora inovačních projektů</w:t>
      </w:r>
      <w:r w:rsidRPr="00434E34">
        <w:rPr>
          <w:rFonts w:ascii="Arial" w:hAnsi="Arial" w:cs="Arial"/>
          <w:sz w:val="22"/>
          <w:szCs w:val="22"/>
        </w:rPr>
        <w:t xml:space="preserve"> s environmentálním a klimatickým přínosem (např. LIFE program),</w:t>
      </w:r>
    </w:p>
    <w:p w14:paraId="4D7BE600" w14:textId="77777777" w:rsidR="00434E34" w:rsidRPr="00434E34" w:rsidRDefault="00434E34">
      <w:pPr>
        <w:numPr>
          <w:ilvl w:val="1"/>
          <w:numId w:val="53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b/>
          <w:bCs/>
          <w:sz w:val="22"/>
          <w:szCs w:val="22"/>
        </w:rPr>
        <w:t>Podpora rozvoje kapacit a přenosu znalostí</w:t>
      </w:r>
      <w:r w:rsidRPr="00434E34">
        <w:rPr>
          <w:rFonts w:ascii="Arial" w:hAnsi="Arial" w:cs="Arial"/>
          <w:sz w:val="22"/>
          <w:szCs w:val="22"/>
        </w:rPr>
        <w:t xml:space="preserve"> v rámci víceúrovňového řízení.</w:t>
      </w:r>
    </w:p>
    <w:p w14:paraId="25336F2F" w14:textId="77777777" w:rsidR="00434E34" w:rsidRPr="00434E34" w:rsidRDefault="00434E34" w:rsidP="00434E34">
      <w:pPr>
        <w:pStyle w:val="Nadpis1"/>
        <w:rPr>
          <w:sz w:val="22"/>
          <w:szCs w:val="22"/>
        </w:rPr>
      </w:pPr>
      <w:r w:rsidRPr="00434E34">
        <w:rPr>
          <w:sz w:val="22"/>
          <w:szCs w:val="22"/>
        </w:rPr>
        <w:t>Shrnutí:</w:t>
      </w:r>
    </w:p>
    <w:p w14:paraId="413D281B" w14:textId="38544EEA" w:rsidR="00434E34" w:rsidRPr="00434E34" w:rsidRDefault="00434E34" w:rsidP="0087262E">
      <w:pPr>
        <w:jc w:val="both"/>
        <w:rPr>
          <w:rFonts w:ascii="Arial" w:hAnsi="Arial" w:cs="Arial"/>
          <w:sz w:val="22"/>
          <w:szCs w:val="22"/>
        </w:rPr>
      </w:pPr>
      <w:r w:rsidRPr="00434E34">
        <w:rPr>
          <w:rFonts w:ascii="Arial" w:hAnsi="Arial" w:cs="Arial"/>
          <w:sz w:val="22"/>
          <w:szCs w:val="22"/>
        </w:rPr>
        <w:t xml:space="preserve">VaVaI je zde </w:t>
      </w:r>
      <w:r w:rsidRPr="00434E34">
        <w:rPr>
          <w:rFonts w:ascii="Arial" w:hAnsi="Arial" w:cs="Arial"/>
          <w:b/>
          <w:bCs/>
          <w:sz w:val="22"/>
          <w:szCs w:val="22"/>
        </w:rPr>
        <w:t>strategickým pilířem</w:t>
      </w:r>
      <w:r w:rsidRPr="00434E34">
        <w:rPr>
          <w:rFonts w:ascii="Arial" w:hAnsi="Arial" w:cs="Arial"/>
          <w:sz w:val="22"/>
          <w:szCs w:val="22"/>
        </w:rPr>
        <w:t xml:space="preserve"> pro konkurenceschopnost, digitální transformaci a</w:t>
      </w:r>
      <w:r w:rsidR="0087262E">
        <w:rPr>
          <w:rFonts w:ascii="Arial" w:hAnsi="Arial" w:cs="Arial"/>
          <w:sz w:val="22"/>
          <w:szCs w:val="22"/>
        </w:rPr>
        <w:t> </w:t>
      </w:r>
      <w:r w:rsidRPr="00434E34">
        <w:rPr>
          <w:rFonts w:ascii="Arial" w:hAnsi="Arial" w:cs="Arial"/>
          <w:sz w:val="22"/>
          <w:szCs w:val="22"/>
        </w:rPr>
        <w:t xml:space="preserve">klimatickou odolnost EU. Dokument klade důraz na </w:t>
      </w:r>
      <w:r w:rsidRPr="00434E34">
        <w:rPr>
          <w:rFonts w:ascii="Arial" w:hAnsi="Arial" w:cs="Arial"/>
          <w:b/>
          <w:bCs/>
          <w:sz w:val="22"/>
          <w:szCs w:val="22"/>
        </w:rPr>
        <w:t>integrované plánování, přeshraniční spolupráci a IPCEI</w:t>
      </w:r>
      <w:r w:rsidRPr="00434E34"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434E34" w:rsidRPr="00434E34" w14:paraId="707C97E0" w14:textId="77777777" w:rsidTr="00E759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3858F7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6B9EEAC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46060863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4E34" w:rsidRPr="00434E34" w14:paraId="3CCA4102" w14:textId="77777777" w:rsidTr="00E759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DB6B60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5AB33D95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94E52C6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4E34" w:rsidRPr="00434E34" w14:paraId="60F1F5E9" w14:textId="77777777" w:rsidTr="00E7594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2CC3B7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6E5D2316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0617FA82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73DDB0" w14:textId="77777777" w:rsidR="00434E34" w:rsidRPr="00434E34" w:rsidRDefault="00434E34" w:rsidP="00434E34">
      <w:pPr>
        <w:rPr>
          <w:rFonts w:ascii="Arial" w:hAnsi="Arial" w:cs="Arial"/>
          <w:sz w:val="22"/>
          <w:szCs w:val="22"/>
        </w:rPr>
      </w:pPr>
    </w:p>
    <w:p w14:paraId="210C6DF3" w14:textId="77777777" w:rsidR="00434E34" w:rsidRPr="00724957" w:rsidRDefault="00434E34" w:rsidP="00434E34">
      <w:pPr>
        <w:pStyle w:val="Nadpis1"/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</w:pPr>
      <w:r w:rsidRPr="00724957">
        <w:rPr>
          <w:rFonts w:eastAsia="Times New Roman"/>
          <w:b w:val="0"/>
          <w:color w:val="0070C0"/>
          <w:kern w:val="0"/>
          <w:sz w:val="22"/>
          <w:szCs w:val="22"/>
          <w:lang w:eastAsia="cs-CZ"/>
        </w:rPr>
        <w:lastRenderedPageBreak/>
        <w:t>6. Srovnávací tabulka</w:t>
      </w:r>
    </w:p>
    <w:tbl>
      <w:tblPr>
        <w:tblW w:w="92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3260"/>
        <w:gridCol w:w="4111"/>
      </w:tblGrid>
      <w:tr w:rsidR="00434E34" w:rsidRPr="00434E34" w14:paraId="55E22374" w14:textId="77777777" w:rsidTr="0084548C">
        <w:trPr>
          <w:tblHeader/>
          <w:tblCellSpacing w:w="15" w:type="dxa"/>
        </w:trPr>
        <w:tc>
          <w:tcPr>
            <w:tcW w:w="17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4E2C1EA" w14:textId="77777777" w:rsidR="00434E34" w:rsidRPr="00434E34" w:rsidRDefault="00434E34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3230" w:type="dxa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A362884" w14:textId="77777777" w:rsidR="00434E34" w:rsidRPr="00434E34" w:rsidRDefault="00434E34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COM(2025) 552 (ERDF/CF)</w:t>
            </w:r>
          </w:p>
        </w:tc>
        <w:tc>
          <w:tcPr>
            <w:tcW w:w="4066" w:type="dxa"/>
            <w:tcBorders>
              <w:top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ABD2931" w14:textId="77777777" w:rsidR="00434E34" w:rsidRPr="00434E34" w:rsidRDefault="00434E34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COM(2025) 565 (NRPP)</w:t>
            </w:r>
          </w:p>
        </w:tc>
      </w:tr>
      <w:tr w:rsidR="00434E34" w:rsidRPr="00434E34" w14:paraId="28F4A2C3" w14:textId="77777777" w:rsidTr="0084548C">
        <w:trPr>
          <w:trHeight w:val="696"/>
          <w:tblCellSpacing w:w="15" w:type="dxa"/>
        </w:trPr>
        <w:tc>
          <w:tcPr>
            <w:tcW w:w="1790" w:type="dxa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F76ED22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Role VaVaI</w:t>
            </w:r>
          </w:p>
        </w:tc>
        <w:tc>
          <w:tcPr>
            <w:tcW w:w="3230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07422F1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Podpora regionální konkurenceschopnosti/role doplňková regionální</w:t>
            </w:r>
          </w:p>
        </w:tc>
        <w:tc>
          <w:tcPr>
            <w:tcW w:w="4066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326D5F7A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Strategický pilíř EU politik/role strategická, systémová</w:t>
            </w:r>
          </w:p>
        </w:tc>
      </w:tr>
      <w:tr w:rsidR="00434E34" w:rsidRPr="00434E34" w14:paraId="3C07B85D" w14:textId="77777777" w:rsidTr="0084548C">
        <w:trPr>
          <w:tblCellSpacing w:w="15" w:type="dxa"/>
        </w:trPr>
        <w:tc>
          <w:tcPr>
            <w:tcW w:w="1790" w:type="dxa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C14EBB4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Zaměření</w:t>
            </w:r>
          </w:p>
        </w:tc>
        <w:tc>
          <w:tcPr>
            <w:tcW w:w="3230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9A34290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 xml:space="preserve">Regionální </w:t>
            </w:r>
            <w:r w:rsidRPr="0087262E">
              <w:rPr>
                <w:rFonts w:ascii="Arial" w:hAnsi="Arial" w:cs="Arial"/>
                <w:bCs/>
                <w:color w:val="0070C0"/>
                <w:sz w:val="22"/>
                <w:szCs w:val="22"/>
              </w:rPr>
              <w:t>inovace</w:t>
            </w:r>
            <w:r w:rsidRPr="00434E34">
              <w:rPr>
                <w:rFonts w:ascii="Arial" w:hAnsi="Arial" w:cs="Arial"/>
                <w:sz w:val="22"/>
                <w:szCs w:val="22"/>
              </w:rPr>
              <w:t>, mladí lidé, soudržnost/regiony, soudržnost</w:t>
            </w:r>
          </w:p>
        </w:tc>
        <w:tc>
          <w:tcPr>
            <w:tcW w:w="4066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673D76E9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IPCEI, digitální transformace, 3 % HDP na VaV/EU konkurenceschopnost – transformace</w:t>
            </w:r>
          </w:p>
        </w:tc>
      </w:tr>
      <w:tr w:rsidR="00434E34" w:rsidRPr="00434E34" w14:paraId="71E581AD" w14:textId="77777777" w:rsidTr="0084548C">
        <w:trPr>
          <w:tblCellSpacing w:w="15" w:type="dxa"/>
        </w:trPr>
        <w:tc>
          <w:tcPr>
            <w:tcW w:w="1790" w:type="dxa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F389AF5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Nástroje</w:t>
            </w:r>
          </w:p>
        </w:tc>
        <w:tc>
          <w:tcPr>
            <w:tcW w:w="3230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99D744F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ERDF, Interreg</w:t>
            </w:r>
          </w:p>
        </w:tc>
        <w:tc>
          <w:tcPr>
            <w:tcW w:w="4066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7883C33A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Všechny fondy (ERDF, ESF+, EAFRD, EMFAF...)</w:t>
            </w:r>
          </w:p>
        </w:tc>
      </w:tr>
      <w:tr w:rsidR="00434E34" w:rsidRPr="00434E34" w14:paraId="5C956B77" w14:textId="77777777" w:rsidTr="0084548C">
        <w:trPr>
          <w:tblCellSpacing w:w="15" w:type="dxa"/>
        </w:trPr>
        <w:tc>
          <w:tcPr>
            <w:tcW w:w="1790" w:type="dxa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0CACC290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Synergie</w:t>
            </w:r>
          </w:p>
        </w:tc>
        <w:tc>
          <w:tcPr>
            <w:tcW w:w="3230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5AB0B367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Horizon Europe, CEF, Global Europe</w:t>
            </w:r>
          </w:p>
        </w:tc>
        <w:tc>
          <w:tcPr>
            <w:tcW w:w="4066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105" w:type="dxa"/>
              <w:right w:w="120" w:type="dxa"/>
            </w:tcMar>
            <w:hideMark/>
          </w:tcPr>
          <w:p w14:paraId="47DF4CE3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Digital Decade, LIFE, InvestEU, AI, Skills</w:t>
            </w:r>
          </w:p>
        </w:tc>
      </w:tr>
      <w:tr w:rsidR="00434E34" w:rsidRPr="00434E34" w14:paraId="7AEED72F" w14:textId="77777777" w:rsidTr="0084548C">
        <w:trPr>
          <w:tblCellSpacing w:w="15" w:type="dxa"/>
        </w:trPr>
        <w:tc>
          <w:tcPr>
            <w:tcW w:w="1790" w:type="dxa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</w:tcPr>
          <w:p w14:paraId="6B48AD9D" w14:textId="77777777" w:rsidR="00434E34" w:rsidRPr="00434E34" w:rsidRDefault="00434E34" w:rsidP="00E759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Inovační politika</w:t>
            </w:r>
          </w:p>
        </w:tc>
        <w:tc>
          <w:tcPr>
            <w:tcW w:w="3230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</w:tcPr>
          <w:p w14:paraId="5E3943C3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Podpora ekosystémů</w:t>
            </w:r>
          </w:p>
        </w:tc>
        <w:tc>
          <w:tcPr>
            <w:tcW w:w="4066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</w:tcPr>
          <w:p w14:paraId="55E9870D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4E34" w:rsidRPr="00434E34" w14:paraId="1D2F704F" w14:textId="77777777" w:rsidTr="0084548C">
        <w:trPr>
          <w:tblCellSpacing w:w="15" w:type="dxa"/>
        </w:trPr>
        <w:tc>
          <w:tcPr>
            <w:tcW w:w="1790" w:type="dxa"/>
            <w:tcBorders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37C221A2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b/>
                <w:bCs/>
                <w:sz w:val="22"/>
                <w:szCs w:val="22"/>
              </w:rPr>
              <w:t>Přeshraniční dimenze</w:t>
            </w:r>
          </w:p>
        </w:tc>
        <w:tc>
          <w:tcPr>
            <w:tcW w:w="3230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2D910B8F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Interreg, spolupráce regionů</w:t>
            </w:r>
          </w:p>
        </w:tc>
        <w:tc>
          <w:tcPr>
            <w:tcW w:w="4066" w:type="dxa"/>
            <w:tcBorders>
              <w:bottom w:val="single" w:sz="6" w:space="0" w:color="E6E6E6"/>
              <w:right w:val="single" w:sz="6" w:space="0" w:color="E6E6E6"/>
            </w:tcBorders>
            <w:tcMar>
              <w:top w:w="120" w:type="dxa"/>
              <w:left w:w="180" w:type="dxa"/>
              <w:bottom w:w="90" w:type="dxa"/>
              <w:right w:w="120" w:type="dxa"/>
            </w:tcMar>
            <w:hideMark/>
          </w:tcPr>
          <w:p w14:paraId="30754045" w14:textId="77777777" w:rsidR="00434E34" w:rsidRPr="00434E34" w:rsidRDefault="00434E34" w:rsidP="00E75948">
            <w:pPr>
              <w:rPr>
                <w:rFonts w:ascii="Arial" w:hAnsi="Arial" w:cs="Arial"/>
                <w:sz w:val="22"/>
                <w:szCs w:val="22"/>
              </w:rPr>
            </w:pPr>
            <w:r w:rsidRPr="00434E34">
              <w:rPr>
                <w:rFonts w:ascii="Arial" w:hAnsi="Arial" w:cs="Arial"/>
                <w:sz w:val="22"/>
                <w:szCs w:val="22"/>
              </w:rPr>
              <w:t>IPCEI, víceúrovňové řízení, koordinace plánů</w:t>
            </w:r>
          </w:p>
        </w:tc>
      </w:tr>
    </w:tbl>
    <w:p w14:paraId="3DE15089" w14:textId="77777777" w:rsidR="0037505A" w:rsidRPr="00434E34" w:rsidRDefault="0037505A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88E2041" w14:textId="77777777" w:rsidR="0037505A" w:rsidRDefault="0037505A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2906360" w14:textId="0D0C4D97" w:rsidR="00A73A0E" w:rsidRDefault="0088612D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Poznámka</w:t>
      </w:r>
    </w:p>
    <w:p w14:paraId="7AA0D64A" w14:textId="422B8825" w:rsidR="0088612D" w:rsidRDefault="0088612D" w:rsidP="0088612D">
      <w:pPr>
        <w:tabs>
          <w:tab w:val="left" w:pos="288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Pro úplnost aktivit, které se v souvislosti se zveřejněním víceletého finančního rámce v segmentu VaVaI</w:t>
      </w:r>
      <w:r w:rsidR="00FD65C3">
        <w:rPr>
          <w:rFonts w:ascii="Arial" w:eastAsiaTheme="minorHAnsi" w:hAnsi="Arial" w:cs="Arial"/>
          <w:sz w:val="22"/>
          <w:szCs w:val="22"/>
          <w:lang w:eastAsia="en-US"/>
        </w:rPr>
        <w:t xml:space="preserve"> rozeběhly se Radě pro informaci předkládají 2 rámcové pozice související s vyjednávání</w:t>
      </w:r>
      <w:r w:rsidR="00F034FD"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="00FD65C3">
        <w:rPr>
          <w:rFonts w:ascii="Arial" w:eastAsiaTheme="minorHAnsi" w:hAnsi="Arial" w:cs="Arial"/>
          <w:sz w:val="22"/>
          <w:szCs w:val="22"/>
          <w:lang w:eastAsia="en-US"/>
        </w:rPr>
        <w:t xml:space="preserve"> o podobě </w:t>
      </w:r>
      <w:r w:rsidR="00F034FD">
        <w:rPr>
          <w:rFonts w:ascii="Arial" w:eastAsiaTheme="minorHAnsi" w:hAnsi="Arial" w:cs="Arial"/>
          <w:sz w:val="22"/>
          <w:szCs w:val="22"/>
          <w:lang w:eastAsia="en-US"/>
        </w:rPr>
        <w:t>legislativních dokumentů k</w:t>
      </w:r>
      <w:r w:rsidR="00FD65C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034FD">
        <w:rPr>
          <w:rFonts w:ascii="Arial" w:eastAsiaTheme="minorHAnsi" w:hAnsi="Arial" w:cs="Arial"/>
          <w:sz w:val="22"/>
          <w:szCs w:val="22"/>
          <w:lang w:eastAsia="en-US"/>
        </w:rPr>
        <w:t>[</w:t>
      </w:r>
      <w:r w:rsidR="00C41AD3">
        <w:rPr>
          <w:rFonts w:ascii="Arial" w:eastAsiaTheme="minorHAnsi" w:hAnsi="Arial" w:cs="Arial"/>
          <w:sz w:val="22"/>
          <w:szCs w:val="22"/>
          <w:lang w:eastAsia="en-US"/>
        </w:rPr>
        <w:t>FP</w:t>
      </w:r>
      <w:r w:rsidR="00FD65C3">
        <w:rPr>
          <w:rFonts w:ascii="Arial" w:eastAsiaTheme="minorHAnsi" w:hAnsi="Arial" w:cs="Arial"/>
          <w:sz w:val="22"/>
          <w:szCs w:val="22"/>
          <w:lang w:eastAsia="en-US"/>
        </w:rPr>
        <w:t>10</w:t>
      </w:r>
      <w:r w:rsidR="00F034FD">
        <w:rPr>
          <w:rFonts w:ascii="Arial" w:eastAsiaTheme="minorHAnsi" w:hAnsi="Arial" w:cs="Arial"/>
          <w:sz w:val="22"/>
          <w:szCs w:val="22"/>
          <w:lang w:eastAsia="en-US"/>
        </w:rPr>
        <w:t xml:space="preserve">] </w:t>
      </w:r>
      <w:r w:rsidR="00F034FD" w:rsidRPr="00F034FD">
        <w:rPr>
          <w:rFonts w:ascii="Arial" w:eastAsiaTheme="minorHAnsi" w:hAnsi="Arial" w:cs="Arial"/>
          <w:sz w:val="22"/>
          <w:szCs w:val="22"/>
          <w:lang w:eastAsia="en-US"/>
        </w:rPr>
        <w:t>rámcové</w:t>
      </w:r>
      <w:r w:rsidR="00C41AD3">
        <w:rPr>
          <w:rFonts w:ascii="Arial" w:eastAsiaTheme="minorHAnsi" w:hAnsi="Arial" w:cs="Arial"/>
          <w:sz w:val="22"/>
          <w:szCs w:val="22"/>
          <w:lang w:eastAsia="en-US"/>
        </w:rPr>
        <w:t>mu</w:t>
      </w:r>
      <w:r w:rsidR="00F034FD" w:rsidRPr="00F034FD">
        <w:rPr>
          <w:rFonts w:ascii="Arial" w:eastAsiaTheme="minorHAnsi" w:hAnsi="Arial" w:cs="Arial"/>
          <w:sz w:val="22"/>
          <w:szCs w:val="22"/>
          <w:lang w:eastAsia="en-US"/>
        </w:rPr>
        <w:t xml:space="preserve"> programu na podporu výzkumu a</w:t>
      </w:r>
      <w:r w:rsidR="00F034FD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F034FD" w:rsidRPr="00F034FD">
        <w:rPr>
          <w:rFonts w:ascii="Arial" w:eastAsiaTheme="minorHAnsi" w:hAnsi="Arial" w:cs="Arial"/>
          <w:sz w:val="22"/>
          <w:szCs w:val="22"/>
          <w:lang w:eastAsia="en-US"/>
        </w:rPr>
        <w:t>inovací Horizont Evropa</w:t>
      </w:r>
      <w:r w:rsidR="00C41AD3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FD65C3">
        <w:rPr>
          <w:rFonts w:ascii="Arial" w:eastAsiaTheme="minorHAnsi" w:hAnsi="Arial" w:cs="Arial"/>
          <w:sz w:val="22"/>
          <w:szCs w:val="22"/>
          <w:lang w:eastAsia="en-US"/>
        </w:rPr>
        <w:t xml:space="preserve"> Obě pozice byly vypracovány resortní koordinační skupinou pod vedením MŠMT a </w:t>
      </w:r>
      <w:r w:rsidR="00895659">
        <w:rPr>
          <w:rFonts w:ascii="Arial" w:eastAsiaTheme="minorHAnsi" w:hAnsi="Arial" w:cs="Arial"/>
          <w:sz w:val="22"/>
          <w:szCs w:val="22"/>
          <w:lang w:eastAsia="en-US"/>
        </w:rPr>
        <w:t>projednány</w:t>
      </w:r>
      <w:r w:rsidR="00FD65C3">
        <w:rPr>
          <w:rFonts w:ascii="Arial" w:eastAsiaTheme="minorHAnsi" w:hAnsi="Arial" w:cs="Arial"/>
          <w:sz w:val="22"/>
          <w:szCs w:val="22"/>
          <w:lang w:eastAsia="en-US"/>
        </w:rPr>
        <w:t xml:space="preserve"> Výborem pro EU na pracovní úrovni dne </w:t>
      </w:r>
      <w:r w:rsidR="00FD65C3" w:rsidRPr="00895659">
        <w:rPr>
          <w:rFonts w:ascii="Arial" w:eastAsiaTheme="minorHAnsi" w:hAnsi="Arial" w:cs="Arial"/>
          <w:sz w:val="22"/>
          <w:szCs w:val="22"/>
          <w:lang w:eastAsia="en-US"/>
        </w:rPr>
        <w:t>2. září 2025.</w:t>
      </w:r>
    </w:p>
    <w:p w14:paraId="27161F2F" w14:textId="77777777" w:rsidR="00FD65C3" w:rsidRDefault="00FD65C3" w:rsidP="0088612D">
      <w:pPr>
        <w:tabs>
          <w:tab w:val="left" w:pos="288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2F03ABD" w14:textId="167BA9D6" w:rsidR="00FD65C3" w:rsidRPr="00FD65C3" w:rsidRDefault="00FD65C3" w:rsidP="00FD65C3">
      <w:pPr>
        <w:tabs>
          <w:tab w:val="left" w:pos="288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Konkrétně se jedná o:</w:t>
      </w:r>
    </w:p>
    <w:p w14:paraId="3CDBC3B4" w14:textId="34072C70" w:rsidR="00FD65C3" w:rsidRDefault="00FD65C3" w:rsidP="00FD65C3">
      <w:pPr>
        <w:pStyle w:val="Odstavecseseznamem"/>
        <w:numPr>
          <w:ilvl w:val="0"/>
          <w:numId w:val="52"/>
        </w:numPr>
        <w:tabs>
          <w:tab w:val="left" w:pos="288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Rámcovou pozici k </w:t>
      </w:r>
      <w:r w:rsidRPr="00FD65C3">
        <w:rPr>
          <w:rFonts w:ascii="Arial" w:eastAsiaTheme="minorHAnsi" w:hAnsi="Arial" w:cs="Arial"/>
          <w:sz w:val="22"/>
          <w:szCs w:val="22"/>
          <w:lang w:eastAsia="en-US"/>
        </w:rPr>
        <w:t>Návrh</w:t>
      </w:r>
      <w:r>
        <w:rPr>
          <w:rFonts w:ascii="Arial" w:eastAsiaTheme="minorHAnsi" w:hAnsi="Arial" w:cs="Arial"/>
          <w:sz w:val="22"/>
          <w:szCs w:val="22"/>
          <w:lang w:eastAsia="en-US"/>
        </w:rPr>
        <w:t>u</w:t>
      </w:r>
      <w:r w:rsidRPr="00FD65C3">
        <w:rPr>
          <w:rFonts w:ascii="Arial" w:eastAsiaTheme="minorHAnsi" w:hAnsi="Arial" w:cs="Arial"/>
          <w:sz w:val="22"/>
          <w:szCs w:val="22"/>
          <w:lang w:eastAsia="en-US"/>
        </w:rPr>
        <w:t xml:space="preserve"> nařízení Evropského parlamentu a Rady ustavující Horizont Evropa, rámcový program pro výzkum a inovace na roky 2028-2034, upravující pravidla účasti a šíření a rušící nařízení (EU) 2021/695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(viz příloha č. 2);</w:t>
      </w:r>
    </w:p>
    <w:p w14:paraId="5E547325" w14:textId="3B969ECD" w:rsidR="00FD65C3" w:rsidRPr="00FD65C3" w:rsidRDefault="00FD65C3" w:rsidP="00FD65C3">
      <w:pPr>
        <w:pStyle w:val="Odstavecseseznamem"/>
        <w:numPr>
          <w:ilvl w:val="0"/>
          <w:numId w:val="52"/>
        </w:numPr>
        <w:tabs>
          <w:tab w:val="left" w:pos="288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Rámcovou pozici k </w:t>
      </w:r>
      <w:r w:rsidRPr="00FD65C3">
        <w:rPr>
          <w:rFonts w:ascii="Arial" w:eastAsiaTheme="minorHAnsi" w:hAnsi="Arial" w:cs="Arial"/>
          <w:sz w:val="22"/>
          <w:szCs w:val="22"/>
          <w:lang w:eastAsia="en-US"/>
        </w:rPr>
        <w:t>Návrh</w:t>
      </w:r>
      <w:r>
        <w:rPr>
          <w:rFonts w:ascii="Arial" w:eastAsiaTheme="minorHAnsi" w:hAnsi="Arial" w:cs="Arial"/>
          <w:sz w:val="22"/>
          <w:szCs w:val="22"/>
          <w:lang w:eastAsia="en-US"/>
        </w:rPr>
        <w:t>u</w:t>
      </w:r>
      <w:r w:rsidRPr="00FD65C3">
        <w:rPr>
          <w:rFonts w:ascii="Arial" w:eastAsiaTheme="minorHAnsi" w:hAnsi="Arial" w:cs="Arial"/>
          <w:sz w:val="22"/>
          <w:szCs w:val="22"/>
          <w:lang w:eastAsia="en-US"/>
        </w:rPr>
        <w:t xml:space="preserve"> rozhodnutí Rady o ustavení specifického programu implementující Horizont Evropa – rámcový program pro výzkum a inovace na roky 2028-2034, upravující pravidla účasti a šíření tohoto programu a rušící rozhodnutí (EU) 2021/764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(viz příloha č. 3).</w:t>
      </w:r>
    </w:p>
    <w:p w14:paraId="5BC53E7C" w14:textId="77777777" w:rsidR="00A73A0E" w:rsidRDefault="00A73A0E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DD0E2CE" w14:textId="77777777" w:rsidR="00A73A0E" w:rsidRDefault="00A73A0E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AB6223A" w14:textId="77777777" w:rsidR="0037505A" w:rsidRPr="00434E34" w:rsidRDefault="0037505A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F3FE699" w14:textId="4F78071F" w:rsidR="008D3D31" w:rsidRDefault="0030012B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0012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Přílohy</w:t>
      </w:r>
    </w:p>
    <w:p w14:paraId="0E3A9044" w14:textId="26346BED" w:rsidR="005C0A02" w:rsidRDefault="00BB5C0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B5C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rezentace k jednání PS KOHEZE 2028+ ze dne 13. srpna 2025</w:t>
      </w:r>
    </w:p>
    <w:p w14:paraId="02240F6A" w14:textId="0153D126" w:rsidR="00FD65C3" w:rsidRPr="00FD65C3" w:rsidRDefault="00FD65C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Rámcová pozice k </w:t>
      </w:r>
      <w:r w:rsidRPr="00FD65C3">
        <w:rPr>
          <w:rFonts w:ascii="Arial" w:eastAsiaTheme="minorHAnsi" w:hAnsi="Arial" w:cs="Arial"/>
          <w:sz w:val="22"/>
          <w:szCs w:val="22"/>
          <w:lang w:eastAsia="en-US"/>
        </w:rPr>
        <w:t>Návrh</w:t>
      </w:r>
      <w:r>
        <w:rPr>
          <w:rFonts w:ascii="Arial" w:eastAsiaTheme="minorHAnsi" w:hAnsi="Arial" w:cs="Arial"/>
          <w:sz w:val="22"/>
          <w:szCs w:val="22"/>
          <w:lang w:eastAsia="en-US"/>
        </w:rPr>
        <w:t>u</w:t>
      </w:r>
      <w:r w:rsidRPr="00FD65C3">
        <w:rPr>
          <w:rFonts w:ascii="Arial" w:eastAsiaTheme="minorHAnsi" w:hAnsi="Arial" w:cs="Arial"/>
          <w:sz w:val="22"/>
          <w:szCs w:val="22"/>
          <w:lang w:eastAsia="en-US"/>
        </w:rPr>
        <w:t xml:space="preserve"> nařízení Evropského parlamentu a Rady ustavující Horizont Evropa, rámcový program pro výzkum a inovace na roky 2028-2034, upravující pravidla účasti a šíření a rušící nařízení (EU) 2021/695</w:t>
      </w:r>
    </w:p>
    <w:p w14:paraId="5957CF72" w14:textId="5334865A" w:rsidR="0010248D" w:rsidRPr="0084548C" w:rsidRDefault="00F034FD" w:rsidP="0084548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84548C">
        <w:rPr>
          <w:rFonts w:ascii="Arial" w:eastAsiaTheme="minorHAnsi" w:hAnsi="Arial" w:cs="Arial"/>
          <w:sz w:val="22"/>
          <w:szCs w:val="22"/>
          <w:lang w:eastAsia="en-US"/>
        </w:rPr>
        <w:t>Rámcová pozice k Návrhu rozhodnutí Rady o ustavení specifického programu implementující Horizont Evropa – rámcový program pro výzkum a inovace na roky 2028-2034, upravující pravidla účasti a šíření tohoto programu a rušící rozhodnutí (EU) 2021/764</w:t>
      </w:r>
    </w:p>
    <w:sectPr w:rsidR="0010248D" w:rsidRPr="0084548C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91261" w14:textId="77777777" w:rsidR="00FD7EF5" w:rsidRDefault="00FD7EF5" w:rsidP="008F77F6">
      <w:r>
        <w:separator/>
      </w:r>
    </w:p>
  </w:endnote>
  <w:endnote w:type="continuationSeparator" w:id="0">
    <w:p w14:paraId="0C3BDBA5" w14:textId="77777777" w:rsidR="00FD7EF5" w:rsidRDefault="00FD7EF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F16BB" w14:textId="77777777" w:rsidR="006A2C4B" w:rsidRDefault="006A2C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D590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4FA8BB85" w14:textId="7C80FA55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0D24EB" wp14:editId="434E2DC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CB2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93E0B9F" wp14:editId="4C50A9A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245685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06CB2C5C" wp14:editId="3B7188A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87205500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F2BE04E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B5C07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4DC4A47F" wp14:editId="0BE76E7D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3770569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504B58B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B5C07">
                  <w:rPr>
                    <w:rFonts w:ascii="Arial" w:hAnsi="Arial" w:cs="Arial"/>
                    <w:bCs/>
                    <w:sz w:val="16"/>
                    <w:szCs w:val="16"/>
                  </w:rPr>
                  <w:t>Informace: politika soudržnosti 2028+ v ČR a navazující legislativa</w:t>
                </w:r>
                <w:r w:rsidR="00BB5C07">
                  <w:rPr>
                    <w:rFonts w:ascii="Arial" w:hAnsi="Arial" w:cs="Arial"/>
                  </w:rPr>
                  <w:t xml:space="preserve">     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C51698">
                  <w:rPr>
                    <w:rFonts w:ascii="Arial" w:hAnsi="Arial" w:cs="Arial"/>
                    <w:sz w:val="16"/>
                    <w:szCs w:val="16"/>
                  </w:rPr>
                  <w:t>o: OKSPP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41B402" w14:textId="50293AE3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10248D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5E4A63A" wp14:editId="4FC9BD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50B4F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724957">
              <w:rPr>
                <w:rFonts w:ascii="Arial" w:hAnsi="Arial" w:cs="Arial"/>
                <w:bCs/>
                <w:sz w:val="16"/>
                <w:szCs w:val="16"/>
              </w:rPr>
              <w:t>Informace: p</w:t>
            </w:r>
            <w:r w:rsidR="00724436">
              <w:rPr>
                <w:rFonts w:ascii="Arial" w:hAnsi="Arial" w:cs="Arial"/>
                <w:bCs/>
                <w:sz w:val="16"/>
                <w:szCs w:val="16"/>
              </w:rPr>
              <w:t>olitik</w:t>
            </w:r>
            <w:r w:rsidR="00724957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="00724436">
              <w:rPr>
                <w:rFonts w:ascii="Arial" w:hAnsi="Arial" w:cs="Arial"/>
                <w:bCs/>
                <w:sz w:val="16"/>
                <w:szCs w:val="16"/>
              </w:rPr>
              <w:t xml:space="preserve"> soudržnosti 2028+ v</w:t>
            </w:r>
            <w:r w:rsidR="00724957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 w:rsidR="00724436">
              <w:rPr>
                <w:rFonts w:ascii="Arial" w:hAnsi="Arial" w:cs="Arial"/>
                <w:bCs/>
                <w:sz w:val="16"/>
                <w:szCs w:val="16"/>
              </w:rPr>
              <w:t>ČR</w:t>
            </w:r>
            <w:r w:rsidR="00724957">
              <w:rPr>
                <w:rFonts w:ascii="Arial" w:hAnsi="Arial" w:cs="Arial"/>
                <w:bCs/>
                <w:sz w:val="16"/>
                <w:szCs w:val="16"/>
              </w:rPr>
              <w:t xml:space="preserve"> a navazující legislativa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096E840B" wp14:editId="6FCC3F2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840731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E223D" w14:textId="77777777" w:rsidR="00FD7EF5" w:rsidRDefault="00FD7EF5" w:rsidP="008F77F6">
      <w:r>
        <w:separator/>
      </w:r>
    </w:p>
  </w:footnote>
  <w:footnote w:type="continuationSeparator" w:id="0">
    <w:p w14:paraId="1C3F8A73" w14:textId="77777777" w:rsidR="00FD7EF5" w:rsidRDefault="00FD7EF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A0EF" w14:textId="77777777" w:rsidR="006A2C4B" w:rsidRDefault="006A2C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3B28C" w14:textId="77777777" w:rsidR="006A2C4B" w:rsidRDefault="006A2C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9E23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4D8A46A9" wp14:editId="4CC5A20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E555" w14:textId="09EBDEAA" w:rsidR="00B13622" w:rsidRPr="00C8132D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color w:val="EE0000"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935225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6A2C4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8A46A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099FE555" w14:textId="09EBDEAA" w:rsidR="00B13622" w:rsidRPr="00C8132D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color w:val="EE0000"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935225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6A2C4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54E6B2B3" wp14:editId="31625F0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B5E6A"/>
    <w:multiLevelType w:val="multilevel"/>
    <w:tmpl w:val="9D98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E16BF4"/>
    <w:multiLevelType w:val="multilevel"/>
    <w:tmpl w:val="CDA82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1469EA"/>
    <w:multiLevelType w:val="multilevel"/>
    <w:tmpl w:val="0608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E55B42"/>
    <w:multiLevelType w:val="multilevel"/>
    <w:tmpl w:val="77C09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56741D"/>
    <w:multiLevelType w:val="multilevel"/>
    <w:tmpl w:val="8A0A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C0F5311"/>
    <w:multiLevelType w:val="multilevel"/>
    <w:tmpl w:val="0AA8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DB80E1D"/>
    <w:multiLevelType w:val="multilevel"/>
    <w:tmpl w:val="2AC07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3446F6"/>
    <w:multiLevelType w:val="multilevel"/>
    <w:tmpl w:val="22BA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22F4E6F"/>
    <w:multiLevelType w:val="multilevel"/>
    <w:tmpl w:val="9230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0B60B4"/>
    <w:multiLevelType w:val="multilevel"/>
    <w:tmpl w:val="3226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CE076E1"/>
    <w:multiLevelType w:val="multilevel"/>
    <w:tmpl w:val="B34C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E7945A6"/>
    <w:multiLevelType w:val="multilevel"/>
    <w:tmpl w:val="7C80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07E2F41"/>
    <w:multiLevelType w:val="multilevel"/>
    <w:tmpl w:val="02723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1DA6E61"/>
    <w:multiLevelType w:val="multilevel"/>
    <w:tmpl w:val="83B4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23329E2"/>
    <w:multiLevelType w:val="multilevel"/>
    <w:tmpl w:val="1D04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451E0D"/>
    <w:multiLevelType w:val="multilevel"/>
    <w:tmpl w:val="1706A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D7E647F"/>
    <w:multiLevelType w:val="hybridMultilevel"/>
    <w:tmpl w:val="8182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E7114"/>
    <w:multiLevelType w:val="multilevel"/>
    <w:tmpl w:val="B688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DB36AFD"/>
    <w:multiLevelType w:val="multilevel"/>
    <w:tmpl w:val="51AE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F153EB"/>
    <w:multiLevelType w:val="multilevel"/>
    <w:tmpl w:val="326CD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11126F0"/>
    <w:multiLevelType w:val="multilevel"/>
    <w:tmpl w:val="EF38E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18326EC"/>
    <w:multiLevelType w:val="multilevel"/>
    <w:tmpl w:val="F152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52F7BBE"/>
    <w:multiLevelType w:val="multilevel"/>
    <w:tmpl w:val="1B08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7DC3728"/>
    <w:multiLevelType w:val="multilevel"/>
    <w:tmpl w:val="54083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8112C1A"/>
    <w:multiLevelType w:val="hybridMultilevel"/>
    <w:tmpl w:val="BBA647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05312"/>
    <w:multiLevelType w:val="multilevel"/>
    <w:tmpl w:val="3F18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294A5E"/>
    <w:multiLevelType w:val="hybridMultilevel"/>
    <w:tmpl w:val="7A847AB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7A669E"/>
    <w:multiLevelType w:val="multilevel"/>
    <w:tmpl w:val="23B68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BAB5BCA"/>
    <w:multiLevelType w:val="multilevel"/>
    <w:tmpl w:val="2E1E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3623E38"/>
    <w:multiLevelType w:val="multilevel"/>
    <w:tmpl w:val="50AE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B6533DF"/>
    <w:multiLevelType w:val="multilevel"/>
    <w:tmpl w:val="3EF82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BE376E0"/>
    <w:multiLevelType w:val="multilevel"/>
    <w:tmpl w:val="8394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4C422EF"/>
    <w:multiLevelType w:val="multilevel"/>
    <w:tmpl w:val="E058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0E2CC8"/>
    <w:multiLevelType w:val="multilevel"/>
    <w:tmpl w:val="625E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A52D87"/>
    <w:multiLevelType w:val="multilevel"/>
    <w:tmpl w:val="A1966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7A1084F"/>
    <w:multiLevelType w:val="multilevel"/>
    <w:tmpl w:val="E77E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B1341E9"/>
    <w:multiLevelType w:val="multilevel"/>
    <w:tmpl w:val="8DEAD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E4A03D3"/>
    <w:multiLevelType w:val="multilevel"/>
    <w:tmpl w:val="EB5A6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466756A"/>
    <w:multiLevelType w:val="multilevel"/>
    <w:tmpl w:val="7C0A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53F674F"/>
    <w:multiLevelType w:val="multilevel"/>
    <w:tmpl w:val="3642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5426C5E"/>
    <w:multiLevelType w:val="multilevel"/>
    <w:tmpl w:val="66BA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6AB091E"/>
    <w:multiLevelType w:val="multilevel"/>
    <w:tmpl w:val="E9120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7CE1E73"/>
    <w:multiLevelType w:val="multilevel"/>
    <w:tmpl w:val="AFE6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C530B28"/>
    <w:multiLevelType w:val="multilevel"/>
    <w:tmpl w:val="753A9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EE4F72"/>
    <w:multiLevelType w:val="multilevel"/>
    <w:tmpl w:val="222A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6587222"/>
    <w:multiLevelType w:val="multilevel"/>
    <w:tmpl w:val="A4A2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9421CDE"/>
    <w:multiLevelType w:val="multilevel"/>
    <w:tmpl w:val="4A9E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9CC4E17"/>
    <w:multiLevelType w:val="multilevel"/>
    <w:tmpl w:val="3F90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A2A681D"/>
    <w:multiLevelType w:val="multilevel"/>
    <w:tmpl w:val="E47E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D23001D"/>
    <w:multiLevelType w:val="multilevel"/>
    <w:tmpl w:val="043C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E3B6407"/>
    <w:multiLevelType w:val="multilevel"/>
    <w:tmpl w:val="6C463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7E4C74D7"/>
    <w:multiLevelType w:val="multilevel"/>
    <w:tmpl w:val="5E7A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F077AF6"/>
    <w:multiLevelType w:val="multilevel"/>
    <w:tmpl w:val="E584A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8308544">
    <w:abstractNumId w:val="16"/>
  </w:num>
  <w:num w:numId="2" w16cid:durableId="1881167946">
    <w:abstractNumId w:val="24"/>
  </w:num>
  <w:num w:numId="3" w16cid:durableId="1274168429">
    <w:abstractNumId w:val="31"/>
  </w:num>
  <w:num w:numId="4" w16cid:durableId="711997415">
    <w:abstractNumId w:val="27"/>
  </w:num>
  <w:num w:numId="5" w16cid:durableId="777719762">
    <w:abstractNumId w:val="13"/>
  </w:num>
  <w:num w:numId="6" w16cid:durableId="1359159868">
    <w:abstractNumId w:val="48"/>
  </w:num>
  <w:num w:numId="7" w16cid:durableId="1964336335">
    <w:abstractNumId w:val="7"/>
  </w:num>
  <w:num w:numId="8" w16cid:durableId="576093175">
    <w:abstractNumId w:val="20"/>
  </w:num>
  <w:num w:numId="9" w16cid:durableId="1885020679">
    <w:abstractNumId w:val="21"/>
  </w:num>
  <w:num w:numId="10" w16cid:durableId="131019967">
    <w:abstractNumId w:val="35"/>
  </w:num>
  <w:num w:numId="11" w16cid:durableId="828716433">
    <w:abstractNumId w:val="22"/>
  </w:num>
  <w:num w:numId="12" w16cid:durableId="452359488">
    <w:abstractNumId w:val="51"/>
  </w:num>
  <w:num w:numId="13" w16cid:durableId="222298469">
    <w:abstractNumId w:val="29"/>
  </w:num>
  <w:num w:numId="14" w16cid:durableId="1440829088">
    <w:abstractNumId w:val="17"/>
  </w:num>
  <w:num w:numId="15" w16cid:durableId="443967259">
    <w:abstractNumId w:val="26"/>
  </w:num>
  <w:num w:numId="16" w16cid:durableId="1761946362">
    <w:abstractNumId w:val="46"/>
  </w:num>
  <w:num w:numId="17" w16cid:durableId="1092236145">
    <w:abstractNumId w:val="39"/>
  </w:num>
  <w:num w:numId="18" w16cid:durableId="1487278424">
    <w:abstractNumId w:val="49"/>
  </w:num>
  <w:num w:numId="19" w16cid:durableId="1757559458">
    <w:abstractNumId w:val="40"/>
  </w:num>
  <w:num w:numId="20" w16cid:durableId="1546454064">
    <w:abstractNumId w:val="4"/>
  </w:num>
  <w:num w:numId="21" w16cid:durableId="660499842">
    <w:abstractNumId w:val="38"/>
  </w:num>
  <w:num w:numId="22" w16cid:durableId="496193363">
    <w:abstractNumId w:val="5"/>
  </w:num>
  <w:num w:numId="23" w16cid:durableId="1291596392">
    <w:abstractNumId w:val="23"/>
  </w:num>
  <w:num w:numId="24" w16cid:durableId="529413004">
    <w:abstractNumId w:val="19"/>
  </w:num>
  <w:num w:numId="25" w16cid:durableId="100758760">
    <w:abstractNumId w:val="41"/>
  </w:num>
  <w:num w:numId="26" w16cid:durableId="1166242114">
    <w:abstractNumId w:val="15"/>
  </w:num>
  <w:num w:numId="27" w16cid:durableId="179705920">
    <w:abstractNumId w:val="44"/>
  </w:num>
  <w:num w:numId="28" w16cid:durableId="2039503080">
    <w:abstractNumId w:val="9"/>
  </w:num>
  <w:num w:numId="29" w16cid:durableId="311518651">
    <w:abstractNumId w:val="47"/>
  </w:num>
  <w:num w:numId="30" w16cid:durableId="1682000964">
    <w:abstractNumId w:val="14"/>
  </w:num>
  <w:num w:numId="31" w16cid:durableId="1531065350">
    <w:abstractNumId w:val="11"/>
  </w:num>
  <w:num w:numId="32" w16cid:durableId="978412222">
    <w:abstractNumId w:val="2"/>
  </w:num>
  <w:num w:numId="33" w16cid:durableId="1613511885">
    <w:abstractNumId w:val="8"/>
  </w:num>
  <w:num w:numId="34" w16cid:durableId="1215773863">
    <w:abstractNumId w:val="3"/>
  </w:num>
  <w:num w:numId="35" w16cid:durableId="133136019">
    <w:abstractNumId w:val="42"/>
  </w:num>
  <w:num w:numId="36" w16cid:durableId="15474098">
    <w:abstractNumId w:val="36"/>
  </w:num>
  <w:num w:numId="37" w16cid:durableId="255940348">
    <w:abstractNumId w:val="50"/>
  </w:num>
  <w:num w:numId="38" w16cid:durableId="436146480">
    <w:abstractNumId w:val="34"/>
  </w:num>
  <w:num w:numId="39" w16cid:durableId="144126034">
    <w:abstractNumId w:val="12"/>
  </w:num>
  <w:num w:numId="40" w16cid:durableId="491214820">
    <w:abstractNumId w:val="52"/>
  </w:num>
  <w:num w:numId="41" w16cid:durableId="399180043">
    <w:abstractNumId w:val="0"/>
  </w:num>
  <w:num w:numId="42" w16cid:durableId="484510580">
    <w:abstractNumId w:val="28"/>
  </w:num>
  <w:num w:numId="43" w16cid:durableId="1826045955">
    <w:abstractNumId w:val="6"/>
  </w:num>
  <w:num w:numId="44" w16cid:durableId="92432713">
    <w:abstractNumId w:val="45"/>
  </w:num>
  <w:num w:numId="45" w16cid:durableId="1561550775">
    <w:abstractNumId w:val="37"/>
  </w:num>
  <w:num w:numId="46" w16cid:durableId="761223868">
    <w:abstractNumId w:val="30"/>
  </w:num>
  <w:num w:numId="47" w16cid:durableId="792361915">
    <w:abstractNumId w:val="10"/>
  </w:num>
  <w:num w:numId="48" w16cid:durableId="922950735">
    <w:abstractNumId w:val="33"/>
  </w:num>
  <w:num w:numId="49" w16cid:durableId="820971704">
    <w:abstractNumId w:val="18"/>
  </w:num>
  <w:num w:numId="50" w16cid:durableId="190265923">
    <w:abstractNumId w:val="25"/>
  </w:num>
  <w:num w:numId="51" w16cid:durableId="1639845714">
    <w:abstractNumId w:val="32"/>
  </w:num>
  <w:num w:numId="52" w16cid:durableId="1489858276">
    <w:abstractNumId w:val="1"/>
  </w:num>
  <w:num w:numId="53" w16cid:durableId="499778474">
    <w:abstractNumId w:val="4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FE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38C6"/>
    <w:rsid w:val="000549A1"/>
    <w:rsid w:val="000562B1"/>
    <w:rsid w:val="000574CE"/>
    <w:rsid w:val="00060D62"/>
    <w:rsid w:val="00062796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3AB"/>
    <w:rsid w:val="000C7099"/>
    <w:rsid w:val="000C7CA6"/>
    <w:rsid w:val="000D0E51"/>
    <w:rsid w:val="000E0056"/>
    <w:rsid w:val="000E29A9"/>
    <w:rsid w:val="000E3C17"/>
    <w:rsid w:val="000E5261"/>
    <w:rsid w:val="000E58E0"/>
    <w:rsid w:val="000E7427"/>
    <w:rsid w:val="0010248D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2FD"/>
    <w:rsid w:val="00141482"/>
    <w:rsid w:val="001444AE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C65C0"/>
    <w:rsid w:val="001C7062"/>
    <w:rsid w:val="001D03E6"/>
    <w:rsid w:val="001D0791"/>
    <w:rsid w:val="001D1E7E"/>
    <w:rsid w:val="001D2DF6"/>
    <w:rsid w:val="001D34CE"/>
    <w:rsid w:val="001D3920"/>
    <w:rsid w:val="001D43F8"/>
    <w:rsid w:val="001E38CB"/>
    <w:rsid w:val="001F070E"/>
    <w:rsid w:val="001F190C"/>
    <w:rsid w:val="001F25B2"/>
    <w:rsid w:val="001F38CB"/>
    <w:rsid w:val="00200490"/>
    <w:rsid w:val="00201B1F"/>
    <w:rsid w:val="002100C7"/>
    <w:rsid w:val="00214DF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B735A"/>
    <w:rsid w:val="002C011B"/>
    <w:rsid w:val="002C2AEB"/>
    <w:rsid w:val="002C2B69"/>
    <w:rsid w:val="002C3837"/>
    <w:rsid w:val="002C3B0C"/>
    <w:rsid w:val="002C4CD2"/>
    <w:rsid w:val="002C6978"/>
    <w:rsid w:val="002E2591"/>
    <w:rsid w:val="002E7B46"/>
    <w:rsid w:val="002F5C51"/>
    <w:rsid w:val="0030012B"/>
    <w:rsid w:val="0030455B"/>
    <w:rsid w:val="00307014"/>
    <w:rsid w:val="003070F6"/>
    <w:rsid w:val="00310690"/>
    <w:rsid w:val="00310F1E"/>
    <w:rsid w:val="00312168"/>
    <w:rsid w:val="00315BD6"/>
    <w:rsid w:val="00325D00"/>
    <w:rsid w:val="00340248"/>
    <w:rsid w:val="003403ED"/>
    <w:rsid w:val="003538D0"/>
    <w:rsid w:val="00356C81"/>
    <w:rsid w:val="003572B9"/>
    <w:rsid w:val="00360293"/>
    <w:rsid w:val="0036298F"/>
    <w:rsid w:val="00363BA3"/>
    <w:rsid w:val="00365304"/>
    <w:rsid w:val="003718B7"/>
    <w:rsid w:val="00371954"/>
    <w:rsid w:val="0037287E"/>
    <w:rsid w:val="003744AA"/>
    <w:rsid w:val="0037505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99D"/>
    <w:rsid w:val="00390C77"/>
    <w:rsid w:val="00393CF8"/>
    <w:rsid w:val="00394D13"/>
    <w:rsid w:val="00394E6A"/>
    <w:rsid w:val="003A0AC6"/>
    <w:rsid w:val="003A0E72"/>
    <w:rsid w:val="003A1123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3C59"/>
    <w:rsid w:val="00414FDE"/>
    <w:rsid w:val="00423DB2"/>
    <w:rsid w:val="00424438"/>
    <w:rsid w:val="0043363D"/>
    <w:rsid w:val="00434E34"/>
    <w:rsid w:val="004369C1"/>
    <w:rsid w:val="00437ECB"/>
    <w:rsid w:val="00440882"/>
    <w:rsid w:val="00441F71"/>
    <w:rsid w:val="00443D2C"/>
    <w:rsid w:val="00443DB9"/>
    <w:rsid w:val="004455F9"/>
    <w:rsid w:val="004511DF"/>
    <w:rsid w:val="0045567B"/>
    <w:rsid w:val="004600B2"/>
    <w:rsid w:val="0046041D"/>
    <w:rsid w:val="00465CFE"/>
    <w:rsid w:val="00475B41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A67FE"/>
    <w:rsid w:val="004B0A28"/>
    <w:rsid w:val="004B0DCC"/>
    <w:rsid w:val="004C2973"/>
    <w:rsid w:val="004C32A7"/>
    <w:rsid w:val="004C3B35"/>
    <w:rsid w:val="004C7CD8"/>
    <w:rsid w:val="004D0F2A"/>
    <w:rsid w:val="004D1459"/>
    <w:rsid w:val="004D3463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3B5D"/>
    <w:rsid w:val="004F4CB6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DAF"/>
    <w:rsid w:val="00534D6C"/>
    <w:rsid w:val="005454E0"/>
    <w:rsid w:val="00546E0C"/>
    <w:rsid w:val="00551DD3"/>
    <w:rsid w:val="00554B95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5F6D"/>
    <w:rsid w:val="005970A0"/>
    <w:rsid w:val="005A22BD"/>
    <w:rsid w:val="005A2C67"/>
    <w:rsid w:val="005B0E8C"/>
    <w:rsid w:val="005B204D"/>
    <w:rsid w:val="005B220B"/>
    <w:rsid w:val="005B3663"/>
    <w:rsid w:val="005C0A02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883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3A80"/>
    <w:rsid w:val="00647B96"/>
    <w:rsid w:val="00647F38"/>
    <w:rsid w:val="00652259"/>
    <w:rsid w:val="00653A89"/>
    <w:rsid w:val="00653C3C"/>
    <w:rsid w:val="006559C8"/>
    <w:rsid w:val="00657FCE"/>
    <w:rsid w:val="0066357A"/>
    <w:rsid w:val="00681BC4"/>
    <w:rsid w:val="006830AB"/>
    <w:rsid w:val="00683EBD"/>
    <w:rsid w:val="006900DD"/>
    <w:rsid w:val="0069489B"/>
    <w:rsid w:val="006A2C4B"/>
    <w:rsid w:val="006B0034"/>
    <w:rsid w:val="006B073F"/>
    <w:rsid w:val="006B14C8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399"/>
    <w:rsid w:val="0072400A"/>
    <w:rsid w:val="00724436"/>
    <w:rsid w:val="00724957"/>
    <w:rsid w:val="0072499F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14B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48C"/>
    <w:rsid w:val="00845C3B"/>
    <w:rsid w:val="00845F8A"/>
    <w:rsid w:val="00845FA1"/>
    <w:rsid w:val="00847729"/>
    <w:rsid w:val="0085063B"/>
    <w:rsid w:val="008536EA"/>
    <w:rsid w:val="00857192"/>
    <w:rsid w:val="00857793"/>
    <w:rsid w:val="008627FE"/>
    <w:rsid w:val="00864895"/>
    <w:rsid w:val="00870DE1"/>
    <w:rsid w:val="0087262E"/>
    <w:rsid w:val="0087277D"/>
    <w:rsid w:val="00872E10"/>
    <w:rsid w:val="0087568F"/>
    <w:rsid w:val="00876001"/>
    <w:rsid w:val="00882EF6"/>
    <w:rsid w:val="0088612D"/>
    <w:rsid w:val="008869E1"/>
    <w:rsid w:val="0089347B"/>
    <w:rsid w:val="0089463A"/>
    <w:rsid w:val="00895659"/>
    <w:rsid w:val="0089743E"/>
    <w:rsid w:val="008A33A3"/>
    <w:rsid w:val="008A603A"/>
    <w:rsid w:val="008A69B5"/>
    <w:rsid w:val="008A7244"/>
    <w:rsid w:val="008B3982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063AF"/>
    <w:rsid w:val="009300D3"/>
    <w:rsid w:val="00931AEE"/>
    <w:rsid w:val="00935225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3D8F"/>
    <w:rsid w:val="0097475D"/>
    <w:rsid w:val="009758E5"/>
    <w:rsid w:val="00975E6F"/>
    <w:rsid w:val="00977888"/>
    <w:rsid w:val="00982AFE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26BFC"/>
    <w:rsid w:val="00A31F09"/>
    <w:rsid w:val="00A33FEC"/>
    <w:rsid w:val="00A4278D"/>
    <w:rsid w:val="00A462CC"/>
    <w:rsid w:val="00A465B6"/>
    <w:rsid w:val="00A4709D"/>
    <w:rsid w:val="00A522AA"/>
    <w:rsid w:val="00A5737D"/>
    <w:rsid w:val="00A60A1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A0E"/>
    <w:rsid w:val="00A73DF7"/>
    <w:rsid w:val="00A7729A"/>
    <w:rsid w:val="00A773C9"/>
    <w:rsid w:val="00A8213E"/>
    <w:rsid w:val="00A8463A"/>
    <w:rsid w:val="00A916E4"/>
    <w:rsid w:val="00A91EAC"/>
    <w:rsid w:val="00AA2AC4"/>
    <w:rsid w:val="00AA38A4"/>
    <w:rsid w:val="00AA5DA0"/>
    <w:rsid w:val="00AA6A69"/>
    <w:rsid w:val="00AB2702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45E7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97671"/>
    <w:rsid w:val="00BA2EE8"/>
    <w:rsid w:val="00BB129B"/>
    <w:rsid w:val="00BB2B4B"/>
    <w:rsid w:val="00BB524A"/>
    <w:rsid w:val="00BB5C07"/>
    <w:rsid w:val="00BC383C"/>
    <w:rsid w:val="00BC7171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19A"/>
    <w:rsid w:val="00C12F55"/>
    <w:rsid w:val="00C14C28"/>
    <w:rsid w:val="00C15EB2"/>
    <w:rsid w:val="00C16518"/>
    <w:rsid w:val="00C26D21"/>
    <w:rsid w:val="00C307C8"/>
    <w:rsid w:val="00C33A80"/>
    <w:rsid w:val="00C3419C"/>
    <w:rsid w:val="00C40669"/>
    <w:rsid w:val="00C41AD3"/>
    <w:rsid w:val="00C42228"/>
    <w:rsid w:val="00C42C24"/>
    <w:rsid w:val="00C42D67"/>
    <w:rsid w:val="00C472D5"/>
    <w:rsid w:val="00C51698"/>
    <w:rsid w:val="00C51755"/>
    <w:rsid w:val="00C52863"/>
    <w:rsid w:val="00C60EAF"/>
    <w:rsid w:val="00C67FA2"/>
    <w:rsid w:val="00C7019E"/>
    <w:rsid w:val="00C7042A"/>
    <w:rsid w:val="00C72E8E"/>
    <w:rsid w:val="00C75C9F"/>
    <w:rsid w:val="00C76D44"/>
    <w:rsid w:val="00C7705A"/>
    <w:rsid w:val="00C8132D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E3564"/>
    <w:rsid w:val="00CF1B0D"/>
    <w:rsid w:val="00CF6180"/>
    <w:rsid w:val="00CF7073"/>
    <w:rsid w:val="00D02186"/>
    <w:rsid w:val="00D03B11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1BE"/>
    <w:rsid w:val="00D62773"/>
    <w:rsid w:val="00D743FC"/>
    <w:rsid w:val="00D76E7E"/>
    <w:rsid w:val="00D77785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118D"/>
    <w:rsid w:val="00DF4459"/>
    <w:rsid w:val="00E030A8"/>
    <w:rsid w:val="00E049BB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4B5F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66A68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4FD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43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14D1"/>
    <w:rsid w:val="00FB4178"/>
    <w:rsid w:val="00FB42F1"/>
    <w:rsid w:val="00FC02BE"/>
    <w:rsid w:val="00FC0AE5"/>
    <w:rsid w:val="00FC1230"/>
    <w:rsid w:val="00FC303A"/>
    <w:rsid w:val="00FC3E9A"/>
    <w:rsid w:val="00FC6CA8"/>
    <w:rsid w:val="00FC6FE9"/>
    <w:rsid w:val="00FC7853"/>
    <w:rsid w:val="00FD28FA"/>
    <w:rsid w:val="00FD3566"/>
    <w:rsid w:val="00FD3BB5"/>
    <w:rsid w:val="00FD5BC1"/>
    <w:rsid w:val="00FD65C3"/>
    <w:rsid w:val="00FD7EF5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EF19"/>
  <w15:docId w15:val="{F7844811-D4A5-4A47-BF29-C97BBABD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1024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6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RVVI\&#352;ABLONY\RVV%20SABLONY%202025_AK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10</TotalTime>
  <Pages>14</Pages>
  <Words>3457</Words>
  <Characters>20402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Lenka Schäfer</cp:lastModifiedBy>
  <cp:revision>5</cp:revision>
  <cp:lastPrinted>2020-10-29T10:28:00Z</cp:lastPrinted>
  <dcterms:created xsi:type="dcterms:W3CDTF">2025-09-02T06:53:00Z</dcterms:created>
  <dcterms:modified xsi:type="dcterms:W3CDTF">2025-09-04T08:30:00Z</dcterms:modified>
</cp:coreProperties>
</file>